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2" w:afterAutospacing="0" w:line="19" w:lineRule="atLeast"/>
        <w:ind w:left="0" w:right="0"/>
        <w:jc w:val="center"/>
        <w:rPr>
          <w:rFonts w:ascii="微软雅黑" w:hAnsi="微软雅黑" w:eastAsia="微软雅黑" w:cs="微软雅黑"/>
          <w:sz w:val="44"/>
          <w:szCs w:val="44"/>
        </w:rPr>
      </w:pPr>
      <w:r>
        <w:rPr>
          <w:rStyle w:val="5"/>
          <w:rFonts w:hint="eastAsia" w:ascii="微软雅黑" w:hAnsi="微软雅黑" w:eastAsia="微软雅黑" w:cs="微软雅黑"/>
          <w:i w:val="0"/>
          <w:iCs w:val="0"/>
          <w:caps w:val="0"/>
          <w:color w:val="282828"/>
          <w:spacing w:val="0"/>
          <w:sz w:val="32"/>
          <w:szCs w:val="32"/>
          <w:bdr w:val="none" w:color="auto" w:sz="0" w:space="0"/>
          <w:shd w:val="clear" w:fill="FFFFFF"/>
        </w:rPr>
        <w:t>2024中国仪器仪表学会科学科技奖拟授奖名单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2" w:afterAutospacing="0" w:line="19" w:lineRule="atLeast"/>
        <w:ind w:left="0" w:right="0"/>
        <w:jc w:val="center"/>
        <w:rPr>
          <w:rFonts w:hint="eastAsia" w:ascii="微软雅黑" w:hAnsi="微软雅黑" w:eastAsia="微软雅黑" w:cs="微软雅黑"/>
        </w:rPr>
      </w:pPr>
      <w:r>
        <w:rPr>
          <w:rFonts w:hint="eastAsia" w:ascii="微软雅黑" w:hAnsi="微软雅黑" w:eastAsia="微软雅黑" w:cs="微软雅黑"/>
          <w:i w:val="0"/>
          <w:iCs w:val="0"/>
          <w:caps w:val="0"/>
          <w:color w:val="282828"/>
          <w:spacing w:val="0"/>
          <w:sz w:val="14"/>
          <w:szCs w:val="14"/>
          <w:bdr w:val="none" w:color="auto" w:sz="0" w:space="0"/>
          <w:shd w:val="clear" w:fill="FFFFFF"/>
        </w:rPr>
        <w:t>(排名不分先后)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2" w:afterAutospacing="0" w:line="19" w:lineRule="atLeast"/>
        <w:ind w:left="0" w:right="0"/>
        <w:jc w:val="center"/>
        <w:rPr>
          <w:rFonts w:hint="eastAsia" w:ascii="微软雅黑" w:hAnsi="微软雅黑" w:eastAsia="微软雅黑" w:cs="微软雅黑"/>
          <w:sz w:val="44"/>
          <w:szCs w:val="44"/>
        </w:rPr>
      </w:pPr>
      <w:r>
        <w:rPr>
          <w:rStyle w:val="5"/>
          <w:rFonts w:hint="eastAsia" w:ascii="微软雅黑" w:hAnsi="微软雅黑" w:eastAsia="微软雅黑" w:cs="微软雅黑"/>
          <w:i w:val="0"/>
          <w:iCs w:val="0"/>
          <w:caps w:val="0"/>
          <w:color w:val="282828"/>
          <w:spacing w:val="0"/>
          <w:sz w:val="21"/>
          <w:szCs w:val="21"/>
          <w:bdr w:val="none" w:color="auto" w:sz="0" w:space="0"/>
          <w:shd w:val="clear" w:fill="FFFFFF"/>
        </w:rPr>
        <w:t>技术发明奖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2" w:afterAutospacing="0" w:line="19" w:lineRule="atLeast"/>
        <w:ind w:left="0" w:right="0"/>
        <w:jc w:val="center"/>
        <w:rPr>
          <w:rFonts w:hint="eastAsia" w:ascii="微软雅黑" w:hAnsi="微软雅黑" w:eastAsia="微软雅黑" w:cs="微软雅黑"/>
          <w:b/>
          <w:bCs/>
          <w:sz w:val="40"/>
          <w:szCs w:val="40"/>
        </w:rPr>
      </w:pPr>
      <w:r>
        <w:rPr>
          <w:rFonts w:hint="eastAsia" w:ascii="微软雅黑" w:hAnsi="微软雅黑" w:eastAsia="微软雅黑" w:cs="微软雅黑"/>
          <w:b/>
          <w:bCs/>
          <w:i w:val="0"/>
          <w:iCs w:val="0"/>
          <w:caps w:val="0"/>
          <w:color w:val="282828"/>
          <w:spacing w:val="0"/>
          <w:sz w:val="20"/>
          <w:szCs w:val="20"/>
          <w:bdr w:val="none" w:color="auto" w:sz="0" w:space="0"/>
          <w:shd w:val="clear" w:fill="FFFFFF"/>
        </w:rPr>
        <w:t>一等奖</w:t>
      </w:r>
      <w:bookmarkStart w:id="0" w:name="_GoBack"/>
      <w:bookmarkEnd w:id="0"/>
    </w:p>
    <w:tbl>
      <w:tblPr>
        <w:tblW w:w="4998" w:type="pct"/>
        <w:tblInd w:w="0" w:type="dxa"/>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331"/>
        <w:gridCol w:w="1959"/>
        <w:gridCol w:w="1743"/>
        <w:gridCol w:w="4480"/>
      </w:tblGrid>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89" w:type="pct"/>
            <w:tcBorders>
              <w:top w:val="single" w:color="C4CED8" w:sz="18" w:space="0"/>
              <w:left w:val="single" w:color="CCCCCC" w:sz="4" w:space="0"/>
            </w:tcBorders>
            <w:shd w:val="clear" w:color="auto" w:fill="F3F3F3"/>
            <w:tcMar>
              <w:top w:w="105" w:type="dxa"/>
              <w:left w:w="105" w:type="dxa"/>
              <w:bottom w:w="105" w:type="dxa"/>
              <w:right w:w="105" w:type="dxa"/>
            </w:tcMar>
            <w:vAlign w:val="center"/>
          </w:tcPr>
          <w:p>
            <w:pPr>
              <w:keepNext w:val="0"/>
              <w:keepLines w:val="0"/>
              <w:widowControl/>
              <w:suppressLineNumbers w:val="0"/>
              <w:spacing w:before="0" w:beforeAutospacing="0" w:after="0" w:afterAutospacing="0"/>
              <w:ind w:left="0" w:right="0"/>
              <w:jc w:val="center"/>
              <w:rPr>
                <w:b/>
                <w:bCs/>
                <w:color w:val="333333"/>
                <w:sz w:val="12"/>
                <w:szCs w:val="12"/>
              </w:rPr>
            </w:pPr>
            <w:r>
              <w:rPr>
                <w:rFonts w:ascii="宋体" w:hAnsi="宋体" w:eastAsia="宋体" w:cs="宋体"/>
                <w:b/>
                <w:bCs/>
                <w:color w:val="333333"/>
                <w:kern w:val="0"/>
                <w:sz w:val="12"/>
                <w:szCs w:val="12"/>
                <w:bdr w:val="none" w:color="auto" w:sz="0" w:space="0"/>
                <w:lang w:val="en-US" w:eastAsia="zh-CN" w:bidi="ar"/>
              </w:rPr>
              <w:t>序号</w:t>
            </w:r>
          </w:p>
        </w:tc>
        <w:tc>
          <w:tcPr>
            <w:tcW w:w="1152" w:type="pct"/>
            <w:tcBorders>
              <w:top w:val="single" w:color="C4CED8" w:sz="18" w:space="0"/>
              <w:left w:val="single" w:color="CCCCCC" w:sz="4" w:space="0"/>
            </w:tcBorders>
            <w:shd w:val="clear" w:color="auto" w:fill="F3F3F3"/>
            <w:tcMar>
              <w:top w:w="105" w:type="dxa"/>
              <w:left w:w="105" w:type="dxa"/>
              <w:bottom w:w="105" w:type="dxa"/>
              <w:right w:w="105" w:type="dxa"/>
            </w:tcMar>
            <w:vAlign w:val="center"/>
          </w:tcPr>
          <w:p>
            <w:pPr>
              <w:keepNext w:val="0"/>
              <w:keepLines w:val="0"/>
              <w:widowControl/>
              <w:suppressLineNumbers w:val="0"/>
              <w:spacing w:before="0" w:beforeAutospacing="0" w:after="0" w:afterAutospacing="0"/>
              <w:ind w:left="0" w:right="0"/>
              <w:jc w:val="center"/>
              <w:rPr>
                <w:b/>
                <w:bCs/>
                <w:color w:val="333333"/>
                <w:sz w:val="12"/>
                <w:szCs w:val="12"/>
              </w:rPr>
            </w:pPr>
            <w:r>
              <w:rPr>
                <w:rFonts w:ascii="宋体" w:hAnsi="宋体" w:eastAsia="宋体" w:cs="宋体"/>
                <w:b/>
                <w:bCs/>
                <w:color w:val="333333"/>
                <w:kern w:val="0"/>
                <w:sz w:val="12"/>
                <w:szCs w:val="12"/>
                <w:bdr w:val="none" w:color="auto" w:sz="0" w:space="0"/>
                <w:lang w:val="en-US" w:eastAsia="zh-CN" w:bidi="ar"/>
              </w:rPr>
              <w:t>项目名称</w:t>
            </w:r>
          </w:p>
        </w:tc>
        <w:tc>
          <w:tcPr>
            <w:tcW w:w="1025" w:type="pct"/>
            <w:tcBorders>
              <w:top w:val="single" w:color="C4CED8" w:sz="18" w:space="0"/>
              <w:left w:val="single" w:color="CCCCCC" w:sz="4" w:space="0"/>
            </w:tcBorders>
            <w:shd w:val="clear" w:color="auto" w:fill="F3F3F3"/>
            <w:tcMar>
              <w:top w:w="105" w:type="dxa"/>
              <w:left w:w="105" w:type="dxa"/>
              <w:bottom w:w="105" w:type="dxa"/>
              <w:right w:w="105" w:type="dxa"/>
            </w:tcMar>
            <w:vAlign w:val="center"/>
          </w:tcPr>
          <w:p>
            <w:pPr>
              <w:keepNext w:val="0"/>
              <w:keepLines w:val="0"/>
              <w:widowControl/>
              <w:suppressLineNumbers w:val="0"/>
              <w:spacing w:before="0" w:beforeAutospacing="0" w:after="0" w:afterAutospacing="0"/>
              <w:ind w:left="0" w:right="0"/>
              <w:jc w:val="center"/>
              <w:rPr>
                <w:b/>
                <w:bCs/>
                <w:color w:val="333333"/>
                <w:sz w:val="12"/>
                <w:szCs w:val="12"/>
              </w:rPr>
            </w:pPr>
            <w:r>
              <w:rPr>
                <w:rFonts w:ascii="宋体" w:hAnsi="宋体" w:eastAsia="宋体" w:cs="宋体"/>
                <w:b/>
                <w:bCs/>
                <w:color w:val="333333"/>
                <w:kern w:val="0"/>
                <w:sz w:val="12"/>
                <w:szCs w:val="12"/>
                <w:bdr w:val="none" w:color="auto" w:sz="0" w:space="0"/>
                <w:lang w:val="en-US" w:eastAsia="zh-CN" w:bidi="ar"/>
              </w:rPr>
              <w:t>主要完成人</w:t>
            </w:r>
          </w:p>
        </w:tc>
        <w:tc>
          <w:tcPr>
            <w:tcW w:w="2632" w:type="pct"/>
            <w:tcBorders>
              <w:top w:val="single" w:color="C4CED8" w:sz="18" w:space="0"/>
              <w:left w:val="single" w:color="CCCCCC" w:sz="4" w:space="0"/>
            </w:tcBorders>
            <w:shd w:val="clear" w:color="auto" w:fill="F3F3F3"/>
            <w:tcMar>
              <w:top w:w="105" w:type="dxa"/>
              <w:left w:w="105" w:type="dxa"/>
              <w:bottom w:w="105" w:type="dxa"/>
              <w:right w:w="105" w:type="dxa"/>
            </w:tcMar>
            <w:vAlign w:val="center"/>
          </w:tcPr>
          <w:p>
            <w:pPr>
              <w:keepNext w:val="0"/>
              <w:keepLines w:val="0"/>
              <w:widowControl/>
              <w:suppressLineNumbers w:val="0"/>
              <w:spacing w:before="0" w:beforeAutospacing="0" w:after="0" w:afterAutospacing="0"/>
              <w:ind w:left="0" w:right="0"/>
              <w:jc w:val="center"/>
              <w:rPr>
                <w:b/>
                <w:bCs/>
                <w:color w:val="333333"/>
                <w:sz w:val="12"/>
                <w:szCs w:val="12"/>
              </w:rPr>
            </w:pPr>
            <w:r>
              <w:rPr>
                <w:rFonts w:ascii="宋体" w:hAnsi="宋体" w:eastAsia="宋体" w:cs="宋体"/>
                <w:b/>
                <w:bCs/>
                <w:color w:val="333333"/>
                <w:kern w:val="0"/>
                <w:sz w:val="12"/>
                <w:szCs w:val="12"/>
                <w:bdr w:val="none" w:color="auto" w:sz="0" w:space="0"/>
                <w:lang w:val="en-US" w:eastAsia="zh-CN" w:bidi="ar"/>
              </w:rPr>
              <w:t>主要完成单位</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89"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1</w:t>
            </w:r>
          </w:p>
        </w:tc>
        <w:tc>
          <w:tcPr>
            <w:tcW w:w="115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面向微尺度生物体的显微操控技术及仪器</w:t>
            </w:r>
          </w:p>
        </w:tc>
        <w:tc>
          <w:tcPr>
            <w:tcW w:w="102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高会军，佟明斯，庄松霖，刘娜，于兴虎，林伟阳</w:t>
            </w:r>
          </w:p>
        </w:tc>
        <w:tc>
          <w:tcPr>
            <w:tcW w:w="263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哈尔滨工业大学，甬江实验室，上海大学，宁波智能装备研究院有限公司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89"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2</w:t>
            </w:r>
          </w:p>
        </w:tc>
        <w:tc>
          <w:tcPr>
            <w:tcW w:w="115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复杂表面面型参数干涉测量与动态补偿离子束加工技术</w:t>
            </w:r>
          </w:p>
        </w:tc>
        <w:tc>
          <w:tcPr>
            <w:tcW w:w="102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郝群，石峰，胡摇，赵恩才，孙国燕，邢希达</w:t>
            </w:r>
          </w:p>
        </w:tc>
        <w:tc>
          <w:tcPr>
            <w:tcW w:w="263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北京理工大学，中国人民解放军国防科技大学，长光卫星技术有限公司，中国科学院西安光学精密机械研究所，山东北方光学电子有限公司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89"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3</w:t>
            </w:r>
          </w:p>
        </w:tc>
        <w:tc>
          <w:tcPr>
            <w:tcW w:w="115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“恒星/太阳-卫星”光学融合感知式导航定位技术</w:t>
            </w:r>
          </w:p>
        </w:tc>
        <w:tc>
          <w:tcPr>
            <w:tcW w:w="102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邢飞，柳鑫元，战海洋，尤政，冯飞，张利</w:t>
            </w:r>
          </w:p>
        </w:tc>
        <w:tc>
          <w:tcPr>
            <w:tcW w:w="263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清华大学，启元实验室</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89"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4</w:t>
            </w:r>
          </w:p>
        </w:tc>
        <w:tc>
          <w:tcPr>
            <w:tcW w:w="115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大型复杂构件高精度超声导波三维成像检测关键技术及应用</w:t>
            </w:r>
          </w:p>
        </w:tc>
        <w:tc>
          <w:tcPr>
            <w:tcW w:w="102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刘洋，吕福在，唐志峰，李健，张鹏飞，曾周末</w:t>
            </w:r>
          </w:p>
        </w:tc>
        <w:tc>
          <w:tcPr>
            <w:tcW w:w="263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天津大学，浙江大学，杭州浙达精益机电技术股份有限公司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89"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5</w:t>
            </w:r>
          </w:p>
        </w:tc>
        <w:tc>
          <w:tcPr>
            <w:tcW w:w="115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高分辨激光差动-相关共焦/光谱成像检测技术及仪器</w:t>
            </w:r>
          </w:p>
        </w:tc>
        <w:tc>
          <w:tcPr>
            <w:tcW w:w="102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赵维谦，崔晗，邱丽荣，雷泽民，王旭，徐德民</w:t>
            </w:r>
          </w:p>
        </w:tc>
        <w:tc>
          <w:tcPr>
            <w:tcW w:w="263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北京理工大学，北京卓立汉光仪器有限公司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89"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6</w:t>
            </w:r>
          </w:p>
        </w:tc>
        <w:tc>
          <w:tcPr>
            <w:tcW w:w="115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抗高过载惯性传感器件与测试系统</w:t>
            </w:r>
          </w:p>
        </w:tc>
        <w:tc>
          <w:tcPr>
            <w:tcW w:w="102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唐军，曹慧亮，赵锐，石云波，郭涛，刘俊</w:t>
            </w:r>
          </w:p>
        </w:tc>
        <w:tc>
          <w:tcPr>
            <w:tcW w:w="263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中北大学</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89"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7</w:t>
            </w:r>
          </w:p>
        </w:tc>
        <w:tc>
          <w:tcPr>
            <w:tcW w:w="115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高精度光栅刻线畸变测控技术及应用</w:t>
            </w:r>
          </w:p>
        </w:tc>
        <w:tc>
          <w:tcPr>
            <w:tcW w:w="102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李文昊，巴音贺希格，王玮，刘兆武，姜岩秀，张伟</w:t>
            </w:r>
          </w:p>
        </w:tc>
        <w:tc>
          <w:tcPr>
            <w:tcW w:w="263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中国科学院长春光学精密机械与物理研究所，长春禹衡光学有限公司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89"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8</w:t>
            </w:r>
          </w:p>
        </w:tc>
        <w:tc>
          <w:tcPr>
            <w:tcW w:w="115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手外骨骼人机共融关键技术及应用</w:t>
            </w:r>
          </w:p>
        </w:tc>
        <w:tc>
          <w:tcPr>
            <w:tcW w:w="102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程龙，李正伟，李伟，季林红，李厚成，邹永向</w:t>
            </w:r>
          </w:p>
        </w:tc>
        <w:tc>
          <w:tcPr>
            <w:tcW w:w="263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中国科学院自动化研究所，清华大学</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89"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9</w:t>
            </w:r>
          </w:p>
        </w:tc>
        <w:tc>
          <w:tcPr>
            <w:tcW w:w="115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微角振动高精密测量与抑制技术</w:t>
            </w:r>
          </w:p>
        </w:tc>
        <w:tc>
          <w:tcPr>
            <w:tcW w:w="102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李醒飞，拓卫晓，封善斋，朱忠，张万良，毛耀</w:t>
            </w:r>
          </w:p>
        </w:tc>
        <w:tc>
          <w:tcPr>
            <w:tcW w:w="263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天津大学，海克斯康制造智能技术（青岛）有限公司，深海技术科学太湖实验室，中国科学院光电技术研究所</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89"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10</w:t>
            </w:r>
          </w:p>
        </w:tc>
        <w:tc>
          <w:tcPr>
            <w:tcW w:w="115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智能制造装备多源信号同步处理与故障在线综合诊断技术</w:t>
            </w:r>
          </w:p>
        </w:tc>
        <w:tc>
          <w:tcPr>
            <w:tcW w:w="102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邱根，王敏，王成城，马文建，刘震，程玉华</w:t>
            </w:r>
          </w:p>
        </w:tc>
        <w:tc>
          <w:tcPr>
            <w:tcW w:w="263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电子科技大学，机械工业仪器仪表综合技术经济研究所</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89"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11</w:t>
            </w:r>
          </w:p>
        </w:tc>
        <w:tc>
          <w:tcPr>
            <w:tcW w:w="115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高分辨成像穆勒矩阵椭偏仪及纳米测量应用</w:t>
            </w:r>
          </w:p>
        </w:tc>
        <w:tc>
          <w:tcPr>
            <w:tcW w:w="102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刘世元，陈修国，谷洪刚，刘佳敏，陈超，江浩</w:t>
            </w:r>
          </w:p>
        </w:tc>
        <w:tc>
          <w:tcPr>
            <w:tcW w:w="263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华中科技大学</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89"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12</w:t>
            </w:r>
          </w:p>
        </w:tc>
        <w:tc>
          <w:tcPr>
            <w:tcW w:w="115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扫描成像高速可变光阑技术与系统</w:t>
            </w:r>
          </w:p>
        </w:tc>
        <w:tc>
          <w:tcPr>
            <w:tcW w:w="102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吴剑威，赵鹏越，郑健，高席丰，张玉荣，刘欢</w:t>
            </w:r>
          </w:p>
        </w:tc>
        <w:tc>
          <w:tcPr>
            <w:tcW w:w="263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哈尔滨工业大学</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2" w:afterAutospacing="0" w:line="19" w:lineRule="atLeast"/>
        <w:ind w:left="0" w:right="0"/>
        <w:jc w:val="center"/>
        <w:rPr>
          <w:rFonts w:hint="eastAsia" w:ascii="微软雅黑" w:hAnsi="微软雅黑" w:eastAsia="微软雅黑" w:cs="微软雅黑"/>
          <w:i w:val="0"/>
          <w:iCs w:val="0"/>
          <w:caps w:val="0"/>
          <w:color w:val="282828"/>
          <w:spacing w:val="0"/>
          <w:sz w:val="14"/>
          <w:szCs w:val="14"/>
          <w:bdr w:val="none" w:color="auto" w:sz="0" w:space="0"/>
          <w:shd w:val="clear"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2" w:afterAutospacing="0" w:line="19" w:lineRule="atLeast"/>
        <w:ind w:left="0" w:right="0"/>
        <w:jc w:val="center"/>
        <w:rPr>
          <w:rFonts w:hint="eastAsia" w:ascii="微软雅黑" w:hAnsi="微软雅黑" w:eastAsia="微软雅黑" w:cs="微软雅黑"/>
          <w:b/>
          <w:bCs/>
          <w:sz w:val="40"/>
          <w:szCs w:val="40"/>
        </w:rPr>
      </w:pPr>
      <w:r>
        <w:rPr>
          <w:rFonts w:hint="eastAsia" w:ascii="微软雅黑" w:hAnsi="微软雅黑" w:eastAsia="微软雅黑" w:cs="微软雅黑"/>
          <w:b/>
          <w:bCs/>
          <w:i w:val="0"/>
          <w:iCs w:val="0"/>
          <w:caps w:val="0"/>
          <w:color w:val="282828"/>
          <w:spacing w:val="0"/>
          <w:sz w:val="20"/>
          <w:szCs w:val="20"/>
          <w:bdr w:val="none" w:color="auto" w:sz="0" w:space="0"/>
          <w:shd w:val="clear" w:fill="FFFFFF"/>
        </w:rPr>
        <w:t>二等奖</w:t>
      </w:r>
    </w:p>
    <w:tbl>
      <w:tblPr>
        <w:tblW w:w="4999" w:type="pct"/>
        <w:tblInd w:w="0" w:type="dxa"/>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340"/>
        <w:gridCol w:w="2279"/>
        <w:gridCol w:w="2100"/>
        <w:gridCol w:w="3795"/>
      </w:tblGrid>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PrEx>
        <w:tc>
          <w:tcPr>
            <w:tcW w:w="200" w:type="pct"/>
            <w:tcBorders>
              <w:top w:val="single" w:color="C4CED8" w:sz="18" w:space="0"/>
              <w:left w:val="single" w:color="CCCCCC" w:sz="4" w:space="0"/>
            </w:tcBorders>
            <w:shd w:val="clear" w:color="auto" w:fill="F3F3F3"/>
            <w:tcMar>
              <w:top w:w="105" w:type="dxa"/>
              <w:left w:w="105" w:type="dxa"/>
              <w:bottom w:w="105" w:type="dxa"/>
              <w:right w:w="105" w:type="dxa"/>
            </w:tcMar>
            <w:vAlign w:val="center"/>
          </w:tcPr>
          <w:p>
            <w:pPr>
              <w:keepNext w:val="0"/>
              <w:keepLines w:val="0"/>
              <w:widowControl/>
              <w:suppressLineNumbers w:val="0"/>
              <w:spacing w:before="0" w:beforeAutospacing="0" w:after="0" w:afterAutospacing="0"/>
              <w:ind w:left="0" w:right="0"/>
              <w:jc w:val="center"/>
              <w:rPr>
                <w:b/>
                <w:bCs/>
                <w:color w:val="333333"/>
                <w:sz w:val="12"/>
                <w:szCs w:val="12"/>
              </w:rPr>
            </w:pPr>
            <w:r>
              <w:rPr>
                <w:rFonts w:ascii="宋体" w:hAnsi="宋体" w:eastAsia="宋体" w:cs="宋体"/>
                <w:b/>
                <w:bCs/>
                <w:color w:val="333333"/>
                <w:kern w:val="0"/>
                <w:sz w:val="12"/>
                <w:szCs w:val="12"/>
                <w:bdr w:val="none" w:color="auto" w:sz="0" w:space="0"/>
                <w:lang w:val="en-US" w:eastAsia="zh-CN" w:bidi="ar"/>
              </w:rPr>
              <w:t>序号</w:t>
            </w:r>
          </w:p>
        </w:tc>
        <w:tc>
          <w:tcPr>
            <w:tcW w:w="1338" w:type="pct"/>
            <w:tcBorders>
              <w:top w:val="single" w:color="C4CED8" w:sz="18" w:space="0"/>
              <w:left w:val="single" w:color="CCCCCC" w:sz="4" w:space="0"/>
            </w:tcBorders>
            <w:shd w:val="clear" w:color="auto" w:fill="F3F3F3"/>
            <w:tcMar>
              <w:top w:w="105" w:type="dxa"/>
              <w:left w:w="105" w:type="dxa"/>
              <w:bottom w:w="105" w:type="dxa"/>
              <w:right w:w="105" w:type="dxa"/>
            </w:tcMar>
            <w:vAlign w:val="center"/>
          </w:tcPr>
          <w:p>
            <w:pPr>
              <w:keepNext w:val="0"/>
              <w:keepLines w:val="0"/>
              <w:widowControl/>
              <w:suppressLineNumbers w:val="0"/>
              <w:spacing w:before="0" w:beforeAutospacing="0" w:after="0" w:afterAutospacing="0"/>
              <w:ind w:left="0" w:right="0"/>
              <w:jc w:val="center"/>
              <w:rPr>
                <w:b/>
                <w:bCs/>
                <w:color w:val="333333"/>
                <w:sz w:val="12"/>
                <w:szCs w:val="12"/>
              </w:rPr>
            </w:pPr>
            <w:r>
              <w:rPr>
                <w:rFonts w:ascii="宋体" w:hAnsi="宋体" w:eastAsia="宋体" w:cs="宋体"/>
                <w:b/>
                <w:bCs/>
                <w:color w:val="333333"/>
                <w:kern w:val="0"/>
                <w:sz w:val="12"/>
                <w:szCs w:val="12"/>
                <w:bdr w:val="none" w:color="auto" w:sz="0" w:space="0"/>
                <w:lang w:val="en-US" w:eastAsia="zh-CN" w:bidi="ar"/>
              </w:rPr>
              <w:t>项目名称</w:t>
            </w:r>
          </w:p>
        </w:tc>
        <w:tc>
          <w:tcPr>
            <w:tcW w:w="1233" w:type="pct"/>
            <w:tcBorders>
              <w:top w:val="single" w:color="C4CED8" w:sz="18" w:space="0"/>
              <w:left w:val="single" w:color="CCCCCC" w:sz="4" w:space="0"/>
            </w:tcBorders>
            <w:shd w:val="clear" w:color="auto" w:fill="F3F3F3"/>
            <w:tcMar>
              <w:top w:w="105" w:type="dxa"/>
              <w:left w:w="105" w:type="dxa"/>
              <w:bottom w:w="105" w:type="dxa"/>
              <w:right w:w="105" w:type="dxa"/>
            </w:tcMar>
            <w:vAlign w:val="center"/>
          </w:tcPr>
          <w:p>
            <w:pPr>
              <w:keepNext w:val="0"/>
              <w:keepLines w:val="0"/>
              <w:widowControl/>
              <w:suppressLineNumbers w:val="0"/>
              <w:spacing w:before="0" w:beforeAutospacing="0" w:after="0" w:afterAutospacing="0"/>
              <w:ind w:left="0" w:right="0"/>
              <w:jc w:val="center"/>
              <w:rPr>
                <w:b/>
                <w:bCs/>
                <w:color w:val="333333"/>
                <w:sz w:val="12"/>
                <w:szCs w:val="12"/>
              </w:rPr>
            </w:pPr>
            <w:r>
              <w:rPr>
                <w:rFonts w:ascii="宋体" w:hAnsi="宋体" w:eastAsia="宋体" w:cs="宋体"/>
                <w:b/>
                <w:bCs/>
                <w:color w:val="333333"/>
                <w:kern w:val="0"/>
                <w:sz w:val="12"/>
                <w:szCs w:val="12"/>
                <w:bdr w:val="none" w:color="auto" w:sz="0" w:space="0"/>
                <w:lang w:val="en-US" w:eastAsia="zh-CN" w:bidi="ar"/>
              </w:rPr>
              <w:t>主要完成人</w:t>
            </w:r>
          </w:p>
        </w:tc>
        <w:tc>
          <w:tcPr>
            <w:tcW w:w="2228" w:type="pct"/>
            <w:tcBorders>
              <w:top w:val="single" w:color="C4CED8" w:sz="18" w:space="0"/>
              <w:left w:val="single" w:color="CCCCCC" w:sz="4" w:space="0"/>
            </w:tcBorders>
            <w:shd w:val="clear" w:color="auto" w:fill="F3F3F3"/>
            <w:tcMar>
              <w:top w:w="105" w:type="dxa"/>
              <w:left w:w="105" w:type="dxa"/>
              <w:bottom w:w="105" w:type="dxa"/>
              <w:right w:w="105" w:type="dxa"/>
            </w:tcMar>
            <w:vAlign w:val="center"/>
          </w:tcPr>
          <w:p>
            <w:pPr>
              <w:keepNext w:val="0"/>
              <w:keepLines w:val="0"/>
              <w:widowControl/>
              <w:suppressLineNumbers w:val="0"/>
              <w:spacing w:before="0" w:beforeAutospacing="0" w:after="0" w:afterAutospacing="0"/>
              <w:ind w:left="0" w:right="0"/>
              <w:jc w:val="center"/>
              <w:rPr>
                <w:b/>
                <w:bCs/>
                <w:color w:val="333333"/>
                <w:sz w:val="12"/>
                <w:szCs w:val="12"/>
              </w:rPr>
            </w:pPr>
            <w:r>
              <w:rPr>
                <w:rFonts w:ascii="宋体" w:hAnsi="宋体" w:eastAsia="宋体" w:cs="宋体"/>
                <w:b/>
                <w:bCs/>
                <w:color w:val="333333"/>
                <w:kern w:val="0"/>
                <w:sz w:val="12"/>
                <w:szCs w:val="12"/>
                <w:bdr w:val="none" w:color="auto" w:sz="0" w:space="0"/>
                <w:lang w:val="en-US" w:eastAsia="zh-CN" w:bidi="ar"/>
              </w:rPr>
              <w:t>主要完成单位</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0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1</w:t>
            </w:r>
          </w:p>
        </w:tc>
        <w:tc>
          <w:tcPr>
            <w:tcW w:w="133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无线环境感知重构和信道仿真关键技术及应用</w:t>
            </w:r>
          </w:p>
        </w:tc>
        <w:tc>
          <w:tcPr>
            <w:tcW w:w="123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杨汨，何睿斯，艾渤，陈瑞凤，张皓翔，杨国元</w:t>
            </w:r>
          </w:p>
        </w:tc>
        <w:tc>
          <w:tcPr>
            <w:tcW w:w="222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北京交通大学，中国铁道科学研究院集团有限公司电子计算技术研究所，中国工业互联网研究院</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20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2</w:t>
            </w:r>
          </w:p>
        </w:tc>
        <w:tc>
          <w:tcPr>
            <w:tcW w:w="133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振动摩擦能量采集与自驱动无线传感关键技术及应用</w:t>
            </w:r>
          </w:p>
        </w:tc>
        <w:tc>
          <w:tcPr>
            <w:tcW w:w="123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张弛，王中林，唐伟，李伟，曹效鑫，付贤鹏</w:t>
            </w:r>
          </w:p>
        </w:tc>
        <w:tc>
          <w:tcPr>
            <w:tcW w:w="222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北京纳米能源与系统研究所，贵州筑信水务环境产业有限公司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20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3</w:t>
            </w:r>
          </w:p>
        </w:tc>
        <w:tc>
          <w:tcPr>
            <w:tcW w:w="133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高空间分辨率混沌拉曼分布式光纤传感技术、仪器与应用</w:t>
            </w:r>
          </w:p>
        </w:tc>
        <w:tc>
          <w:tcPr>
            <w:tcW w:w="123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李健，张明江，薛晓辉，乔丽君，杨清宝，张倩</w:t>
            </w:r>
          </w:p>
        </w:tc>
        <w:tc>
          <w:tcPr>
            <w:tcW w:w="222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太原理工大学，山西师范大学，中铁建安工程设计院有限公司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0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4</w:t>
            </w:r>
          </w:p>
        </w:tc>
        <w:tc>
          <w:tcPr>
            <w:tcW w:w="133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宽带多波段任意调制码矢量毫米波信号发生器和分析仪</w:t>
            </w:r>
          </w:p>
        </w:tc>
        <w:tc>
          <w:tcPr>
            <w:tcW w:w="123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余建军，金亚秋，周雯，李欣颖，赵峰，肖江南</w:t>
            </w:r>
          </w:p>
        </w:tc>
        <w:tc>
          <w:tcPr>
            <w:tcW w:w="222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复旦大学，西安邮电大学</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20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5</w:t>
            </w:r>
          </w:p>
        </w:tc>
        <w:tc>
          <w:tcPr>
            <w:tcW w:w="133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面向快优钻井过程的智能随钻测控关键技术及其应用</w:t>
            </w:r>
          </w:p>
        </w:tc>
        <w:tc>
          <w:tcPr>
            <w:tcW w:w="123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鄢志丹，耿艳峰，孙合辉，高廷正，杜芳云，王伟亮</w:t>
            </w:r>
          </w:p>
        </w:tc>
        <w:tc>
          <w:tcPr>
            <w:tcW w:w="222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中国石油大学（华东），中国石油集团渤海钻探工程有限公司，山东岩芯能源技术有限公司</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2" w:afterAutospacing="0" w:line="19" w:lineRule="atLeast"/>
        <w:ind w:left="0" w:right="0"/>
        <w:jc w:val="center"/>
        <w:rPr>
          <w:rStyle w:val="5"/>
          <w:rFonts w:hint="eastAsia" w:ascii="微软雅黑" w:hAnsi="微软雅黑" w:eastAsia="微软雅黑" w:cs="微软雅黑"/>
          <w:i w:val="0"/>
          <w:iCs w:val="0"/>
          <w:caps w:val="0"/>
          <w:color w:val="282828"/>
          <w:spacing w:val="0"/>
          <w:sz w:val="14"/>
          <w:szCs w:val="14"/>
          <w:bdr w:val="none" w:color="auto" w:sz="0" w:space="0"/>
          <w:shd w:val="clear"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2" w:afterAutospacing="0" w:line="19" w:lineRule="atLeast"/>
        <w:ind w:left="0" w:right="0"/>
        <w:jc w:val="center"/>
        <w:rPr>
          <w:rFonts w:hint="eastAsia" w:ascii="微软雅黑" w:hAnsi="微软雅黑" w:eastAsia="微软雅黑" w:cs="微软雅黑"/>
          <w:b/>
          <w:bCs w:val="0"/>
          <w:sz w:val="44"/>
          <w:szCs w:val="44"/>
        </w:rPr>
      </w:pPr>
      <w:r>
        <w:rPr>
          <w:rStyle w:val="5"/>
          <w:rFonts w:hint="eastAsia" w:ascii="微软雅黑" w:hAnsi="微软雅黑" w:eastAsia="微软雅黑" w:cs="微软雅黑"/>
          <w:b/>
          <w:bCs w:val="0"/>
          <w:i w:val="0"/>
          <w:iCs w:val="0"/>
          <w:caps w:val="0"/>
          <w:color w:val="282828"/>
          <w:spacing w:val="0"/>
          <w:sz w:val="21"/>
          <w:szCs w:val="21"/>
          <w:bdr w:val="none" w:color="auto" w:sz="0" w:space="0"/>
          <w:shd w:val="clear" w:fill="FFFFFF"/>
        </w:rPr>
        <w:t>科技进步奖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2" w:afterAutospacing="0" w:line="19" w:lineRule="atLeast"/>
        <w:ind w:left="0" w:right="0"/>
        <w:jc w:val="center"/>
        <w:rPr>
          <w:rFonts w:hint="eastAsia" w:ascii="微软雅黑" w:hAnsi="微软雅黑" w:eastAsia="微软雅黑" w:cs="微软雅黑"/>
          <w:b/>
          <w:bCs/>
          <w:sz w:val="40"/>
          <w:szCs w:val="40"/>
        </w:rPr>
      </w:pPr>
      <w:r>
        <w:rPr>
          <w:rFonts w:hint="eastAsia" w:ascii="微软雅黑" w:hAnsi="微软雅黑" w:eastAsia="微软雅黑" w:cs="微软雅黑"/>
          <w:b/>
          <w:bCs/>
          <w:i w:val="0"/>
          <w:iCs w:val="0"/>
          <w:caps w:val="0"/>
          <w:color w:val="282828"/>
          <w:spacing w:val="0"/>
          <w:sz w:val="20"/>
          <w:szCs w:val="20"/>
          <w:bdr w:val="none" w:color="auto" w:sz="0" w:space="0"/>
          <w:shd w:val="clear" w:fill="FFFFFF"/>
        </w:rPr>
        <w:t>一等奖</w:t>
      </w:r>
    </w:p>
    <w:tbl>
      <w:tblPr>
        <w:tblW w:w="4998" w:type="pct"/>
        <w:tblInd w:w="0" w:type="dxa"/>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331"/>
        <w:gridCol w:w="1314"/>
        <w:gridCol w:w="2364"/>
        <w:gridCol w:w="4504"/>
      </w:tblGrid>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70" w:type="pct"/>
            <w:tcBorders>
              <w:top w:val="single" w:color="C4CED8" w:sz="18" w:space="0"/>
              <w:left w:val="single" w:color="CCCCCC" w:sz="4" w:space="0"/>
            </w:tcBorders>
            <w:shd w:val="clear" w:color="auto" w:fill="F3F3F3"/>
            <w:tcMar>
              <w:top w:w="105" w:type="dxa"/>
              <w:left w:w="105" w:type="dxa"/>
              <w:bottom w:w="105" w:type="dxa"/>
              <w:right w:w="105" w:type="dxa"/>
            </w:tcMar>
            <w:vAlign w:val="center"/>
          </w:tcPr>
          <w:p>
            <w:pPr>
              <w:keepNext w:val="0"/>
              <w:keepLines w:val="0"/>
              <w:widowControl/>
              <w:suppressLineNumbers w:val="0"/>
              <w:spacing w:before="0" w:beforeAutospacing="0" w:after="0" w:afterAutospacing="0"/>
              <w:ind w:left="0" w:right="0"/>
              <w:jc w:val="center"/>
              <w:rPr>
                <w:b/>
                <w:bCs/>
                <w:color w:val="333333"/>
                <w:sz w:val="12"/>
                <w:szCs w:val="12"/>
              </w:rPr>
            </w:pPr>
            <w:r>
              <w:rPr>
                <w:rFonts w:ascii="宋体" w:hAnsi="宋体" w:eastAsia="宋体" w:cs="宋体"/>
                <w:b/>
                <w:bCs/>
                <w:color w:val="333333"/>
                <w:kern w:val="0"/>
                <w:sz w:val="12"/>
                <w:szCs w:val="12"/>
                <w:bdr w:val="none" w:color="auto" w:sz="0" w:space="0"/>
                <w:lang w:val="en-US" w:eastAsia="zh-CN" w:bidi="ar"/>
              </w:rPr>
              <w:t>序号</w:t>
            </w:r>
          </w:p>
        </w:tc>
        <w:tc>
          <w:tcPr>
            <w:tcW w:w="780" w:type="pct"/>
            <w:tcBorders>
              <w:top w:val="single" w:color="C4CED8" w:sz="18" w:space="0"/>
              <w:left w:val="single" w:color="CCCCCC" w:sz="4" w:space="0"/>
            </w:tcBorders>
            <w:shd w:val="clear" w:color="auto" w:fill="F3F3F3"/>
            <w:tcMar>
              <w:top w:w="105" w:type="dxa"/>
              <w:left w:w="105" w:type="dxa"/>
              <w:bottom w:w="105" w:type="dxa"/>
              <w:right w:w="105" w:type="dxa"/>
            </w:tcMar>
            <w:vAlign w:val="center"/>
          </w:tcPr>
          <w:p>
            <w:pPr>
              <w:keepNext w:val="0"/>
              <w:keepLines w:val="0"/>
              <w:widowControl/>
              <w:suppressLineNumbers w:val="0"/>
              <w:spacing w:before="0" w:beforeAutospacing="0" w:after="0" w:afterAutospacing="0"/>
              <w:ind w:left="0" w:right="0"/>
              <w:jc w:val="center"/>
              <w:rPr>
                <w:b/>
                <w:bCs/>
                <w:color w:val="333333"/>
                <w:sz w:val="12"/>
                <w:szCs w:val="12"/>
              </w:rPr>
            </w:pPr>
            <w:r>
              <w:rPr>
                <w:rFonts w:ascii="宋体" w:hAnsi="宋体" w:eastAsia="宋体" w:cs="宋体"/>
                <w:b/>
                <w:bCs/>
                <w:color w:val="333333"/>
                <w:kern w:val="0"/>
                <w:sz w:val="12"/>
                <w:szCs w:val="12"/>
                <w:bdr w:val="none" w:color="auto" w:sz="0" w:space="0"/>
                <w:lang w:val="en-US" w:eastAsia="zh-CN" w:bidi="ar"/>
              </w:rPr>
              <w:t>项目名称</w:t>
            </w:r>
          </w:p>
        </w:tc>
        <w:tc>
          <w:tcPr>
            <w:tcW w:w="1396" w:type="pct"/>
            <w:tcBorders>
              <w:top w:val="single" w:color="C4CED8" w:sz="18" w:space="0"/>
              <w:left w:val="single" w:color="CCCCCC" w:sz="4" w:space="0"/>
            </w:tcBorders>
            <w:shd w:val="clear" w:color="auto" w:fill="F3F3F3"/>
            <w:tcMar>
              <w:top w:w="105" w:type="dxa"/>
              <w:left w:w="105" w:type="dxa"/>
              <w:bottom w:w="105" w:type="dxa"/>
              <w:right w:w="105" w:type="dxa"/>
            </w:tcMar>
            <w:vAlign w:val="center"/>
          </w:tcPr>
          <w:p>
            <w:pPr>
              <w:keepNext w:val="0"/>
              <w:keepLines w:val="0"/>
              <w:widowControl/>
              <w:suppressLineNumbers w:val="0"/>
              <w:spacing w:before="0" w:beforeAutospacing="0" w:after="0" w:afterAutospacing="0"/>
              <w:ind w:left="0" w:right="0"/>
              <w:jc w:val="center"/>
              <w:rPr>
                <w:b/>
                <w:bCs/>
                <w:color w:val="333333"/>
                <w:sz w:val="12"/>
                <w:szCs w:val="12"/>
              </w:rPr>
            </w:pPr>
            <w:r>
              <w:rPr>
                <w:rFonts w:ascii="宋体" w:hAnsi="宋体" w:eastAsia="宋体" w:cs="宋体"/>
                <w:b/>
                <w:bCs/>
                <w:color w:val="333333"/>
                <w:kern w:val="0"/>
                <w:sz w:val="12"/>
                <w:szCs w:val="12"/>
                <w:bdr w:val="none" w:color="auto" w:sz="0" w:space="0"/>
                <w:lang w:val="en-US" w:eastAsia="zh-CN" w:bidi="ar"/>
              </w:rPr>
              <w:t>主要完成人</w:t>
            </w:r>
          </w:p>
        </w:tc>
        <w:tc>
          <w:tcPr>
            <w:tcW w:w="2652" w:type="pct"/>
            <w:tcBorders>
              <w:top w:val="single" w:color="C4CED8" w:sz="18" w:space="0"/>
              <w:left w:val="single" w:color="CCCCCC" w:sz="4" w:space="0"/>
            </w:tcBorders>
            <w:shd w:val="clear" w:color="auto" w:fill="F3F3F3"/>
            <w:tcMar>
              <w:top w:w="105" w:type="dxa"/>
              <w:left w:w="105" w:type="dxa"/>
              <w:bottom w:w="105" w:type="dxa"/>
              <w:right w:w="105" w:type="dxa"/>
            </w:tcMar>
            <w:vAlign w:val="center"/>
          </w:tcPr>
          <w:p>
            <w:pPr>
              <w:keepNext w:val="0"/>
              <w:keepLines w:val="0"/>
              <w:widowControl/>
              <w:suppressLineNumbers w:val="0"/>
              <w:spacing w:before="0" w:beforeAutospacing="0" w:after="0" w:afterAutospacing="0"/>
              <w:ind w:left="0" w:right="0"/>
              <w:jc w:val="center"/>
              <w:rPr>
                <w:b/>
                <w:bCs/>
                <w:color w:val="333333"/>
                <w:sz w:val="12"/>
                <w:szCs w:val="12"/>
              </w:rPr>
            </w:pPr>
            <w:r>
              <w:rPr>
                <w:rFonts w:ascii="宋体" w:hAnsi="宋体" w:eastAsia="宋体" w:cs="宋体"/>
                <w:b/>
                <w:bCs/>
                <w:color w:val="333333"/>
                <w:kern w:val="0"/>
                <w:sz w:val="12"/>
                <w:szCs w:val="12"/>
                <w:bdr w:val="none" w:color="auto" w:sz="0" w:space="0"/>
                <w:lang w:val="en-US" w:eastAsia="zh-CN" w:bidi="ar"/>
              </w:rPr>
              <w:t>主要完成单位</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7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1</w:t>
            </w:r>
          </w:p>
        </w:tc>
        <w:tc>
          <w:tcPr>
            <w:tcW w:w="78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公路隧道智慧运维数字孪生关键技术装备及应用</w:t>
            </w:r>
          </w:p>
        </w:tc>
        <w:tc>
          <w:tcPr>
            <w:tcW w:w="1396"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贾磊，刘星，阚倩，安茹，吴建清，凌君，魏占营，刘琼，凡时财，孟安鑫，王建柱，杨梓梁，李洋，黎莉，刘洋</w:t>
            </w:r>
          </w:p>
        </w:tc>
        <w:tc>
          <w:tcPr>
            <w:tcW w:w="265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山东大学，深圳市城市交通规划设计研究中心股份有限公司，中国测绘科学研究院，电子科技大学（深圳）高等研究院，华中科技大学，深圳市城市公共安全技术研究院有限公司，重庆隧跃科技有限公司，北京远见知行科技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7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2</w:t>
            </w:r>
          </w:p>
        </w:tc>
        <w:tc>
          <w:tcPr>
            <w:tcW w:w="78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航天等离子体推进装置原位实时监测技术及应用</w:t>
            </w:r>
          </w:p>
        </w:tc>
        <w:tc>
          <w:tcPr>
            <w:tcW w:w="1396"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朱悉铭，贾军伟，张文杰，于达仁，康永琦，李罡，宁中喜，符泰然，王璐，张书锋，常猛，郑博文，王彦飞，武宇婧，蒲以康</w:t>
            </w:r>
          </w:p>
        </w:tc>
        <w:tc>
          <w:tcPr>
            <w:tcW w:w="265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哈尔滨工业大学，中国航天科技集团有限公司第五研究院第五一四研究所，中国航天科技集团有限公司，清华大学</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7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3</w:t>
            </w:r>
          </w:p>
        </w:tc>
        <w:tc>
          <w:tcPr>
            <w:tcW w:w="78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面向车辆安全的人体模拟测试设备关键技术及应用</w:t>
            </w:r>
          </w:p>
        </w:tc>
        <w:tc>
          <w:tcPr>
            <w:tcW w:w="1396"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刘志新，吴志新，郑宏，王磊，朱海涛，孙振东，吕恒绪，漆奇，刘伟东，武永强，王凯，范正奇，刘永钦，毕腾飞，刘东春</w:t>
            </w:r>
          </w:p>
        </w:tc>
        <w:tc>
          <w:tcPr>
            <w:tcW w:w="265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中国汽车技术研究中心有限公司，中汽研汽车检验中心（天津）有限公司，北京航空航天大学，重庆渝微电子技术研究院有限公司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7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4</w:t>
            </w:r>
          </w:p>
        </w:tc>
        <w:tc>
          <w:tcPr>
            <w:tcW w:w="78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临近空间太阳电池标定技术及工程应用</w:t>
            </w:r>
          </w:p>
        </w:tc>
        <w:tc>
          <w:tcPr>
            <w:tcW w:w="1396"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徐国宁，杨燕初，蔡榕，刘正新，李永祥，孙利杰，刘文柱，杜晓伟，张衍垒，张泰华，周江华，李兆杰，高阳，张冬辉，王旭巍</w:t>
            </w:r>
          </w:p>
        </w:tc>
        <w:tc>
          <w:tcPr>
            <w:tcW w:w="265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中国科学院空天信息创新研究院，中国科学院上海微系统与信息技术研究所，上海空间电源研究所</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7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5</w:t>
            </w:r>
          </w:p>
        </w:tc>
        <w:tc>
          <w:tcPr>
            <w:tcW w:w="78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超大推力电动振动试验系统关键技术</w:t>
            </w:r>
          </w:p>
        </w:tc>
        <w:tc>
          <w:tcPr>
            <w:tcW w:w="1396"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汤裕，叶腾波，府晓宏，吴国雄，王威，刘显波，柏德恩，王宇，孙伟，唐金龙</w:t>
            </w:r>
          </w:p>
        </w:tc>
        <w:tc>
          <w:tcPr>
            <w:tcW w:w="265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苏州东菱振动试验仪器有限公司，中国矿业大学，上海交通大学</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7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6</w:t>
            </w:r>
          </w:p>
        </w:tc>
        <w:tc>
          <w:tcPr>
            <w:tcW w:w="78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基于光电融合的特种功能材料集成生化环境感知技术及工程应用开发</w:t>
            </w:r>
          </w:p>
        </w:tc>
        <w:tc>
          <w:tcPr>
            <w:tcW w:w="1396"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杨明红，程乘，胡文彬，李华曜，李秀峰，代吉祥，郭东来，黄清，陈昇，张桂林，高运周，戴玉堂，唐健冠，甘维兵，高伟</w:t>
            </w:r>
          </w:p>
        </w:tc>
        <w:tc>
          <w:tcPr>
            <w:tcW w:w="265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武汉理工大学，华中科技大学，中国特种设备检测研究院，武汉雷施尔光电信息工程有限公司，神光光学集团有限公司，凯特克集团有限公司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7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7</w:t>
            </w:r>
          </w:p>
        </w:tc>
        <w:tc>
          <w:tcPr>
            <w:tcW w:w="78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固定污染源烟气超低排放在线监测关键技术</w:t>
            </w:r>
          </w:p>
        </w:tc>
        <w:tc>
          <w:tcPr>
            <w:tcW w:w="1396"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郭永彩，李德文，刘国庆，彭波，周泳，惠立锋，焦敏，任浩，何邕，吴付祥，赵政，刘博超，高潮，邓勤，张强</w:t>
            </w:r>
          </w:p>
        </w:tc>
        <w:tc>
          <w:tcPr>
            <w:tcW w:w="265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重庆大学，中煤科工集团重庆研究院有限公司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7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8</w:t>
            </w:r>
          </w:p>
        </w:tc>
        <w:tc>
          <w:tcPr>
            <w:tcW w:w="78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风电叶片的红外热成像缺陷无损检测关键技术及应用</w:t>
            </w:r>
          </w:p>
        </w:tc>
        <w:tc>
          <w:tcPr>
            <w:tcW w:w="1396"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何赟泽，周勃，邓堡元，田贵云，王耀南，熊刚，吴双，朱挺进，王义娜，王洪金，杨瑞珍，李响，陈琦，那一鸣</w:t>
            </w:r>
          </w:p>
        </w:tc>
        <w:tc>
          <w:tcPr>
            <w:tcW w:w="265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湖南大学，沈阳工业大学，洛阳双瑞风电叶片有限公司，华能辽宁清洁能源有限责任公司，电子科技大学</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7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9</w:t>
            </w:r>
          </w:p>
        </w:tc>
        <w:tc>
          <w:tcPr>
            <w:tcW w:w="78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基于自主高稳MEMS敏感元件的高精度智能压力变送器研发与产业化</w:t>
            </w:r>
          </w:p>
        </w:tc>
        <w:tc>
          <w:tcPr>
            <w:tcW w:w="1396"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喻立川，田英明，张小平，向泽蓝，王春喜，尹宏鹏，赵剑明，冯飞，陆文强，艾军，高晓红，吕鹏勃，何志强，喻丽，王方</w:t>
            </w:r>
          </w:p>
        </w:tc>
        <w:tc>
          <w:tcPr>
            <w:tcW w:w="265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重庆川仪自动股份有限公司，重庆四联测控技术有限公司，重庆金芯麦斯传感器有限公司，中国科学院沈阳自动化研究所，机械工业仪器仪表综合技术经济研究所，中国科学院上海微系统与信息技术研究所，中国科学院重庆绿色智能技术研究院，重庆大学</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7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10</w:t>
            </w:r>
          </w:p>
        </w:tc>
        <w:tc>
          <w:tcPr>
            <w:tcW w:w="78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科研级高分辨显微成像系统关键技术研究及产业化</w:t>
            </w:r>
          </w:p>
        </w:tc>
        <w:tc>
          <w:tcPr>
            <w:tcW w:w="1396"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毛磊，崔志英，匡翠方，邱元芳，郑驰，陈友华，许迎科，王红飞，邱慧，赵宇，俞杰，张琦，沈开远，张丽芝，王赟</w:t>
            </w:r>
          </w:p>
        </w:tc>
        <w:tc>
          <w:tcPr>
            <w:tcW w:w="265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宁波永新光学股份有限公司，浙江大学</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7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11</w:t>
            </w:r>
          </w:p>
        </w:tc>
        <w:tc>
          <w:tcPr>
            <w:tcW w:w="78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溯源至量子电阻的交流电阻量传体系建立与装置研制</w:t>
            </w:r>
          </w:p>
        </w:tc>
        <w:tc>
          <w:tcPr>
            <w:tcW w:w="1396"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黄晓钉，杨雁，王书强，王忠伟，蔡建臻，黄璐，佟亚珍，白静芬，张欣，孙超，虞娇兰，游立，孙文，王莺，李京</w:t>
            </w:r>
          </w:p>
        </w:tc>
        <w:tc>
          <w:tcPr>
            <w:tcW w:w="265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北京东方计量测试研究所，中国计量科学研究院，中国电力科学研究院有限公司，沈阳中川测试技术有限公司</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2" w:afterAutospacing="0" w:line="19" w:lineRule="atLeast"/>
        <w:ind w:left="0" w:right="0"/>
        <w:jc w:val="center"/>
        <w:rPr>
          <w:rFonts w:hint="eastAsia" w:ascii="微软雅黑" w:hAnsi="微软雅黑" w:eastAsia="微软雅黑" w:cs="微软雅黑"/>
          <w:i w:val="0"/>
          <w:iCs w:val="0"/>
          <w:caps w:val="0"/>
          <w:color w:val="282828"/>
          <w:spacing w:val="0"/>
          <w:sz w:val="14"/>
          <w:szCs w:val="14"/>
          <w:bdr w:val="none" w:color="auto" w:sz="0" w:space="0"/>
          <w:shd w:val="clear"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2" w:afterAutospacing="0" w:line="19" w:lineRule="atLeast"/>
        <w:ind w:left="0" w:right="0"/>
        <w:jc w:val="center"/>
        <w:rPr>
          <w:rFonts w:hint="eastAsia" w:ascii="微软雅黑" w:hAnsi="微软雅黑" w:eastAsia="微软雅黑" w:cs="微软雅黑"/>
          <w:b/>
          <w:bCs/>
          <w:sz w:val="40"/>
          <w:szCs w:val="40"/>
        </w:rPr>
      </w:pPr>
      <w:r>
        <w:rPr>
          <w:rFonts w:hint="eastAsia" w:ascii="微软雅黑" w:hAnsi="微软雅黑" w:eastAsia="微软雅黑" w:cs="微软雅黑"/>
          <w:b/>
          <w:bCs/>
          <w:i w:val="0"/>
          <w:iCs w:val="0"/>
          <w:caps w:val="0"/>
          <w:color w:val="282828"/>
          <w:spacing w:val="0"/>
          <w:sz w:val="20"/>
          <w:szCs w:val="20"/>
          <w:bdr w:val="none" w:color="auto" w:sz="0" w:space="0"/>
          <w:shd w:val="clear" w:fill="FFFFFF"/>
        </w:rPr>
        <w:t>创新团队</w:t>
      </w:r>
    </w:p>
    <w:tbl>
      <w:tblPr>
        <w:tblW w:w="4999" w:type="pct"/>
        <w:tblInd w:w="0" w:type="dxa"/>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968"/>
        <w:gridCol w:w="5800"/>
        <w:gridCol w:w="1746"/>
      </w:tblGrid>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PrEx>
        <w:tc>
          <w:tcPr>
            <w:tcW w:w="568" w:type="pct"/>
            <w:tcBorders>
              <w:top w:val="single" w:color="C4CED8" w:sz="18" w:space="0"/>
              <w:left w:val="single" w:color="CCCCCC" w:sz="4" w:space="0"/>
            </w:tcBorders>
            <w:shd w:val="clear" w:color="auto" w:fill="F3F3F3"/>
            <w:tcMar>
              <w:top w:w="105" w:type="dxa"/>
              <w:left w:w="105" w:type="dxa"/>
              <w:bottom w:w="105" w:type="dxa"/>
              <w:right w:w="105" w:type="dxa"/>
            </w:tcMar>
            <w:vAlign w:val="center"/>
          </w:tcPr>
          <w:p>
            <w:pPr>
              <w:keepNext w:val="0"/>
              <w:keepLines w:val="0"/>
              <w:widowControl/>
              <w:suppressLineNumbers w:val="0"/>
              <w:spacing w:before="0" w:beforeAutospacing="0" w:after="0" w:afterAutospacing="0"/>
              <w:ind w:left="0" w:right="0"/>
              <w:jc w:val="center"/>
              <w:rPr>
                <w:b/>
                <w:bCs/>
                <w:color w:val="333333"/>
                <w:sz w:val="12"/>
                <w:szCs w:val="12"/>
              </w:rPr>
            </w:pPr>
            <w:r>
              <w:rPr>
                <w:rFonts w:ascii="宋体" w:hAnsi="宋体" w:eastAsia="宋体" w:cs="宋体"/>
                <w:b/>
                <w:bCs/>
                <w:color w:val="333333"/>
                <w:kern w:val="0"/>
                <w:sz w:val="12"/>
                <w:szCs w:val="12"/>
                <w:bdr w:val="none" w:color="auto" w:sz="0" w:space="0"/>
                <w:lang w:val="en-US" w:eastAsia="zh-CN" w:bidi="ar"/>
              </w:rPr>
              <w:t>序号</w:t>
            </w:r>
          </w:p>
        </w:tc>
        <w:tc>
          <w:tcPr>
            <w:tcW w:w="3405" w:type="pct"/>
            <w:tcBorders>
              <w:top w:val="single" w:color="C4CED8" w:sz="18" w:space="0"/>
              <w:left w:val="single" w:color="CCCCCC" w:sz="4" w:space="0"/>
            </w:tcBorders>
            <w:shd w:val="clear" w:color="auto" w:fill="F3F3F3"/>
            <w:tcMar>
              <w:top w:w="105" w:type="dxa"/>
              <w:left w:w="105" w:type="dxa"/>
              <w:bottom w:w="105" w:type="dxa"/>
              <w:right w:w="105" w:type="dxa"/>
            </w:tcMar>
            <w:vAlign w:val="center"/>
          </w:tcPr>
          <w:p>
            <w:pPr>
              <w:keepNext w:val="0"/>
              <w:keepLines w:val="0"/>
              <w:widowControl/>
              <w:suppressLineNumbers w:val="0"/>
              <w:spacing w:before="0" w:beforeAutospacing="0" w:after="0" w:afterAutospacing="0"/>
              <w:ind w:left="0" w:right="0"/>
              <w:jc w:val="center"/>
              <w:rPr>
                <w:b/>
                <w:bCs/>
                <w:color w:val="333333"/>
                <w:sz w:val="12"/>
                <w:szCs w:val="12"/>
              </w:rPr>
            </w:pPr>
            <w:r>
              <w:rPr>
                <w:rFonts w:ascii="宋体" w:hAnsi="宋体" w:eastAsia="宋体" w:cs="宋体"/>
                <w:b/>
                <w:bCs/>
                <w:color w:val="333333"/>
                <w:kern w:val="0"/>
                <w:sz w:val="12"/>
                <w:szCs w:val="12"/>
                <w:bdr w:val="none" w:color="auto" w:sz="0" w:space="0"/>
                <w:lang w:val="en-US" w:eastAsia="zh-CN" w:bidi="ar"/>
              </w:rPr>
              <w:t>团队名称</w:t>
            </w:r>
          </w:p>
        </w:tc>
        <w:tc>
          <w:tcPr>
            <w:tcW w:w="1025" w:type="pct"/>
            <w:tcBorders>
              <w:top w:val="single" w:color="C4CED8" w:sz="18" w:space="0"/>
              <w:left w:val="single" w:color="CCCCCC" w:sz="4" w:space="0"/>
            </w:tcBorders>
            <w:shd w:val="clear" w:color="auto" w:fill="F3F3F3"/>
            <w:tcMar>
              <w:top w:w="105" w:type="dxa"/>
              <w:left w:w="105" w:type="dxa"/>
              <w:bottom w:w="105" w:type="dxa"/>
              <w:right w:w="105" w:type="dxa"/>
            </w:tcMar>
            <w:vAlign w:val="center"/>
          </w:tcPr>
          <w:p>
            <w:pPr>
              <w:keepNext w:val="0"/>
              <w:keepLines w:val="0"/>
              <w:widowControl/>
              <w:suppressLineNumbers w:val="0"/>
              <w:spacing w:before="0" w:beforeAutospacing="0" w:after="0" w:afterAutospacing="0"/>
              <w:ind w:left="0" w:right="0"/>
              <w:jc w:val="center"/>
              <w:rPr>
                <w:b/>
                <w:bCs/>
                <w:color w:val="333333"/>
                <w:sz w:val="12"/>
                <w:szCs w:val="12"/>
              </w:rPr>
            </w:pPr>
            <w:r>
              <w:rPr>
                <w:rFonts w:ascii="宋体" w:hAnsi="宋体" w:eastAsia="宋体" w:cs="宋体"/>
                <w:b/>
                <w:bCs/>
                <w:color w:val="333333"/>
                <w:kern w:val="0"/>
                <w:sz w:val="12"/>
                <w:szCs w:val="12"/>
                <w:bdr w:val="none" w:color="auto" w:sz="0" w:space="0"/>
                <w:lang w:val="en-US" w:eastAsia="zh-CN" w:bidi="ar"/>
              </w:rPr>
              <w:t>团队负责人</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56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1</w:t>
            </w:r>
          </w:p>
        </w:tc>
        <w:tc>
          <w:tcPr>
            <w:tcW w:w="340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华东理工大学石油化工智能制造创新团队</w:t>
            </w:r>
          </w:p>
        </w:tc>
        <w:tc>
          <w:tcPr>
            <w:tcW w:w="102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钱锋</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56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2</w:t>
            </w:r>
          </w:p>
        </w:tc>
        <w:tc>
          <w:tcPr>
            <w:tcW w:w="340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中国航天科技集团有限公司新型惯性仪器创新团队</w:t>
            </w:r>
          </w:p>
        </w:tc>
        <w:tc>
          <w:tcPr>
            <w:tcW w:w="102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王巍</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2" w:afterAutospacing="0" w:line="19" w:lineRule="atLeast"/>
        <w:ind w:left="0" w:right="0"/>
        <w:jc w:val="center"/>
        <w:rPr>
          <w:rFonts w:hint="eastAsia" w:ascii="微软雅黑" w:hAnsi="微软雅黑" w:eastAsia="微软雅黑" w:cs="微软雅黑"/>
          <w:i w:val="0"/>
          <w:iCs w:val="0"/>
          <w:caps w:val="0"/>
          <w:color w:val="282828"/>
          <w:spacing w:val="0"/>
          <w:sz w:val="14"/>
          <w:szCs w:val="14"/>
          <w:bdr w:val="none" w:color="auto" w:sz="0" w:space="0"/>
          <w:shd w:val="clear"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2" w:afterAutospacing="0" w:line="19" w:lineRule="atLeast"/>
        <w:ind w:left="0" w:right="0"/>
        <w:jc w:val="center"/>
        <w:rPr>
          <w:rFonts w:hint="eastAsia" w:ascii="微软雅黑" w:hAnsi="微软雅黑" w:eastAsia="微软雅黑" w:cs="微软雅黑"/>
          <w:b/>
          <w:bCs/>
          <w:sz w:val="44"/>
          <w:szCs w:val="44"/>
        </w:rPr>
      </w:pPr>
      <w:r>
        <w:rPr>
          <w:rFonts w:hint="eastAsia" w:ascii="微软雅黑" w:hAnsi="微软雅黑" w:eastAsia="微软雅黑" w:cs="微软雅黑"/>
          <w:b/>
          <w:bCs/>
          <w:i w:val="0"/>
          <w:iCs w:val="0"/>
          <w:caps w:val="0"/>
          <w:color w:val="282828"/>
          <w:spacing w:val="0"/>
          <w:sz w:val="21"/>
          <w:szCs w:val="21"/>
          <w:bdr w:val="none" w:color="auto" w:sz="0" w:space="0"/>
          <w:shd w:val="clear" w:fill="FFFFFF"/>
        </w:rPr>
        <w:t>二等奖</w:t>
      </w:r>
    </w:p>
    <w:tbl>
      <w:tblPr>
        <w:tblW w:w="4999" w:type="pct"/>
        <w:tblInd w:w="0" w:type="dxa"/>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331"/>
        <w:gridCol w:w="1188"/>
        <w:gridCol w:w="1779"/>
        <w:gridCol w:w="5216"/>
      </w:tblGrid>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63" w:type="pct"/>
            <w:tcBorders>
              <w:top w:val="single" w:color="C4CED8" w:sz="18" w:space="0"/>
              <w:left w:val="single" w:color="CCCCCC" w:sz="4" w:space="0"/>
            </w:tcBorders>
            <w:shd w:val="clear" w:color="auto" w:fill="F3F3F3"/>
            <w:tcMar>
              <w:top w:w="105" w:type="dxa"/>
              <w:left w:w="105" w:type="dxa"/>
              <w:bottom w:w="105" w:type="dxa"/>
              <w:right w:w="105" w:type="dxa"/>
            </w:tcMar>
            <w:vAlign w:val="center"/>
          </w:tcPr>
          <w:p>
            <w:pPr>
              <w:keepNext w:val="0"/>
              <w:keepLines w:val="0"/>
              <w:widowControl/>
              <w:suppressLineNumbers w:val="0"/>
              <w:spacing w:before="0" w:beforeAutospacing="0" w:after="0" w:afterAutospacing="0"/>
              <w:ind w:left="0" w:right="0"/>
              <w:jc w:val="center"/>
              <w:rPr>
                <w:b/>
                <w:bCs/>
                <w:color w:val="333333"/>
                <w:sz w:val="12"/>
                <w:szCs w:val="12"/>
              </w:rPr>
            </w:pPr>
            <w:r>
              <w:rPr>
                <w:rFonts w:ascii="宋体" w:hAnsi="宋体" w:eastAsia="宋体" w:cs="宋体"/>
                <w:b/>
                <w:bCs/>
                <w:color w:val="333333"/>
                <w:kern w:val="0"/>
                <w:sz w:val="12"/>
                <w:szCs w:val="12"/>
                <w:bdr w:val="none" w:color="auto" w:sz="0" w:space="0"/>
                <w:lang w:val="en-US" w:eastAsia="zh-CN" w:bidi="ar"/>
              </w:rPr>
              <w:t>序号</w:t>
            </w:r>
          </w:p>
        </w:tc>
        <w:tc>
          <w:tcPr>
            <w:tcW w:w="708" w:type="pct"/>
            <w:tcBorders>
              <w:top w:val="single" w:color="C4CED8" w:sz="18" w:space="0"/>
              <w:left w:val="single" w:color="CCCCCC" w:sz="4" w:space="0"/>
            </w:tcBorders>
            <w:shd w:val="clear" w:color="auto" w:fill="F3F3F3"/>
            <w:tcMar>
              <w:top w:w="105" w:type="dxa"/>
              <w:left w:w="105" w:type="dxa"/>
              <w:bottom w:w="105" w:type="dxa"/>
              <w:right w:w="105" w:type="dxa"/>
            </w:tcMar>
            <w:vAlign w:val="center"/>
          </w:tcPr>
          <w:p>
            <w:pPr>
              <w:keepNext w:val="0"/>
              <w:keepLines w:val="0"/>
              <w:widowControl/>
              <w:suppressLineNumbers w:val="0"/>
              <w:spacing w:before="0" w:beforeAutospacing="0" w:after="0" w:afterAutospacing="0"/>
              <w:ind w:left="0" w:right="0"/>
              <w:jc w:val="center"/>
              <w:rPr>
                <w:b/>
                <w:bCs/>
                <w:color w:val="333333"/>
                <w:sz w:val="12"/>
                <w:szCs w:val="12"/>
              </w:rPr>
            </w:pPr>
            <w:r>
              <w:rPr>
                <w:rFonts w:ascii="宋体" w:hAnsi="宋体" w:eastAsia="宋体" w:cs="宋体"/>
                <w:b/>
                <w:bCs/>
                <w:color w:val="333333"/>
                <w:kern w:val="0"/>
                <w:sz w:val="12"/>
                <w:szCs w:val="12"/>
                <w:bdr w:val="none" w:color="auto" w:sz="0" w:space="0"/>
                <w:lang w:val="en-US" w:eastAsia="zh-CN" w:bidi="ar"/>
              </w:rPr>
              <w:t>项目名称</w:t>
            </w:r>
          </w:p>
        </w:tc>
        <w:tc>
          <w:tcPr>
            <w:tcW w:w="1055" w:type="pct"/>
            <w:tcBorders>
              <w:top w:val="single" w:color="C4CED8" w:sz="18" w:space="0"/>
              <w:left w:val="single" w:color="CCCCCC" w:sz="4" w:space="0"/>
            </w:tcBorders>
            <w:shd w:val="clear" w:color="auto" w:fill="F3F3F3"/>
            <w:tcMar>
              <w:top w:w="105" w:type="dxa"/>
              <w:left w:w="105" w:type="dxa"/>
              <w:bottom w:w="105" w:type="dxa"/>
              <w:right w:w="105" w:type="dxa"/>
            </w:tcMar>
            <w:vAlign w:val="center"/>
          </w:tcPr>
          <w:p>
            <w:pPr>
              <w:keepNext w:val="0"/>
              <w:keepLines w:val="0"/>
              <w:widowControl/>
              <w:suppressLineNumbers w:val="0"/>
              <w:spacing w:before="0" w:beforeAutospacing="0" w:after="0" w:afterAutospacing="0"/>
              <w:ind w:left="0" w:right="0"/>
              <w:jc w:val="center"/>
              <w:rPr>
                <w:b/>
                <w:bCs/>
                <w:color w:val="333333"/>
                <w:sz w:val="12"/>
                <w:szCs w:val="12"/>
              </w:rPr>
            </w:pPr>
            <w:r>
              <w:rPr>
                <w:rFonts w:ascii="宋体" w:hAnsi="宋体" w:eastAsia="宋体" w:cs="宋体"/>
                <w:b/>
                <w:bCs/>
                <w:color w:val="333333"/>
                <w:kern w:val="0"/>
                <w:sz w:val="12"/>
                <w:szCs w:val="12"/>
                <w:bdr w:val="none" w:color="auto" w:sz="0" w:space="0"/>
                <w:lang w:val="en-US" w:eastAsia="zh-CN" w:bidi="ar"/>
              </w:rPr>
              <w:t>主要完成人</w:t>
            </w:r>
          </w:p>
        </w:tc>
        <w:tc>
          <w:tcPr>
            <w:tcW w:w="3072" w:type="pct"/>
            <w:tcBorders>
              <w:top w:val="single" w:color="C4CED8" w:sz="18" w:space="0"/>
              <w:left w:val="single" w:color="CCCCCC" w:sz="4" w:space="0"/>
            </w:tcBorders>
            <w:shd w:val="clear" w:color="auto" w:fill="F3F3F3"/>
            <w:tcMar>
              <w:top w:w="105" w:type="dxa"/>
              <w:left w:w="105" w:type="dxa"/>
              <w:bottom w:w="105" w:type="dxa"/>
              <w:right w:w="105" w:type="dxa"/>
            </w:tcMar>
            <w:vAlign w:val="center"/>
          </w:tcPr>
          <w:p>
            <w:pPr>
              <w:keepNext w:val="0"/>
              <w:keepLines w:val="0"/>
              <w:widowControl/>
              <w:suppressLineNumbers w:val="0"/>
              <w:spacing w:before="0" w:beforeAutospacing="0" w:after="0" w:afterAutospacing="0"/>
              <w:ind w:left="0" w:right="0"/>
              <w:jc w:val="center"/>
              <w:rPr>
                <w:b/>
                <w:bCs/>
                <w:color w:val="333333"/>
                <w:sz w:val="12"/>
                <w:szCs w:val="12"/>
              </w:rPr>
            </w:pPr>
            <w:r>
              <w:rPr>
                <w:rFonts w:ascii="宋体" w:hAnsi="宋体" w:eastAsia="宋体" w:cs="宋体"/>
                <w:b/>
                <w:bCs/>
                <w:color w:val="333333"/>
                <w:kern w:val="0"/>
                <w:sz w:val="12"/>
                <w:szCs w:val="12"/>
                <w:bdr w:val="none" w:color="auto" w:sz="0" w:space="0"/>
                <w:lang w:val="en-US" w:eastAsia="zh-CN" w:bidi="ar"/>
              </w:rPr>
              <w:t>主要完成单位</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1</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分布式天基组网雷达系统的协同容错控制技术与应用</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史建涛，冯李航，陈闯，钱默抒，高志峰，岳冬冬，王宁</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南京工业大学，南京邮电大学，中国电子科技集团公司第十四研究所</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2</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基于地空一体的电力远程智能巡视技术及应用</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常政威，曹迪，张葛祥，熊兴中，谢晓娜，吴杰，张凌浩，魏阳，王大兴，庄慧敏，彭志远，郭斌，江维，郭连恒，廖翼宁</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国网四川省电力公司电力科学研究院，成都信息工程大学，四川轻化工大学，电子科技大学，华雁智能科技(集团)股份有限公司，深圳市朗驰欣创科技股份有限公司，大唐西藏能源开发有限公司，四川蜀能电科能源技术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3</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超深井随钻测控关键技术及应用</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罗明璋，黑创，邓虎，李修权，陈倩，徐文，李枝林，李雷，贾利春，胡凯利，邹骁，邱儒义，张正炳，杨峰，雷鸣</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长江大学，中国石油集团川庆钻探工程有限公司钻采工程技术研究院，中国石油集团测井有限公司，武汉盛华伟业科技股份有限公司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4</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智能高速近紫外接近式光刻机关键技术及应用</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傅舰艇，蔡林沁，罗飞，陈建军，林世超，孙秀辉，文国昇，董国庆，邓三鹏，韩亚军，段良飞，赵涛，陈强，陈刚，胡韶华</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中国科学院重庆绿色智能技术研究院，重庆邮电大学，重庆城市职业学院，苏州中特微电子科技有限公司，江西兆驰半导体有限公司，天津博诺智创机器人技术有限公司，重庆置道科技有限公司，重庆市万盛经济技术开发区交通运行监测与应急调度中心</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5</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高精度智能化激光气体检测关键技术及应用</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陈海永，刘欢，任红军，郭东歌，杨承霖，郑国锋，李志刚，郭琦，王海超，贾林涛，桑小田，杨相玉，陈伟，常磊，慎金鸽</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汉威科技集团股份有限公司，华中科技大学</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6</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海洋温盐深传感器关键技术研究与应用</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盖志刚，郭风祥，周扬，柴旭，陈志刚，刘寿生，盖志鹏，张学宇，周雪松，夏广森，王韶琰，张妹，张丽丽，王宜豹，曹琳</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山东省科学院海洋仪器仪表研究所，青岛浦泽海洋科技有限公司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7</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直流换流站光学电流互感器国产化关键技术研究及应用</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岳长喜，陈争光，庞福滨，熊俊军，彭耐，陈昱卓，罗拓，杨振东，马国祥，周仕豪，周帅，阎嫦玲，王昱晴，刘博阳，嵇建飞</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中国电力科学研究院有限公司，国网江苏省电力有限公司电力科学研究院，国网江西省电力有限公司电力科学研究院，南京南瑞继保工程技术有限公司，上海康阔光智能技术有限公司，北京交通大学，国网安徽省电力有限公司超高压分公司，国网湖北省电力有限公司直流公司，国网青海省电力公司，中国电子科技集团公司第四十四研究所，北京世维通光智能科技有限公司，许继电气股份有限公司，华中科技大学</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8</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封闭空间抗多径三维成像雷达及溯源关键技术与应用</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王彦平，李洋，杜磊，林赟，申文杰，孙进平，王东峰，胡骁，高飞，白泽朝，蒋雯，陈玉林，侯吉祥，李俊，赵玉玺</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北方工业大学，中国计量科学研究院，北京航空航天大学，北京川速微波科技有限公司，北京戍宁信息技术有限公司，北京乐志行科技有限公司，济南卓伦智能交通技术有限公司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9</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航空航天装备复杂损伤的多维光学融合检测与精细识别评估技术</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殷春，陈凯，石安华，黄洪驰，苟轩，何仁军，王伊凡，王锂，周文建，罗庆，胡学海，李琪，周浩，董文朴</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电子科技大学，中国空气动力研究与发展中心超高速空气动力研究所，四川东材科技集团股份有限公司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10</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适应波动型负荷的双向互动量测关键技术及应用</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刘永光，周尚礼，刘金权，林向阳，马晓东，李龙龙，何恒靖，舒志猛，张立新，朱龙飞，张俊浩，贺姗姗，陈淼，钱波 ，吴玉跃</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河南许继仪表有限公司，南方电网数字电网研究院股份有限公司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11</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重大装备仪器仪表用高性能弹性合金材料开发及应用</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张十庆，李方，姚志浩，何钦生，李少龙，刘建雄，王宏，赵振，刘志远，江河，邹兴政，黄石祥，李万伟，王建桥，唐远寿</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重庆材料研究院有限公司，北京科技大学，中国航发湖南动力机械研究所</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12</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反窃电智能诊断与现场监测关键技术及应用</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张蓬鹤，黄荣国，杨艺宁，熊德智，薛阳，张志，段朝义，王聪，张保亮，王璧成，邓高峰，苏盛，康锦萍，慕健，王立宗</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中国电力科学研究院有限公司，国网浙江省电力有限公司营销服务中心，北京合众伟奇科技股份有限公司，国网湖南省电力有限公司供电服务中心（计量中心），国网山东省电力公司营销服务中心(计量中心)，国网江西省电力有限公司供电服务管理中心，长沙理工大学，华北电力大学，烟台东方威思顿电气有限公司，北京新源绿网节能科技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13</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核工程用核级测温仪表关键技术及应用</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冯邻江，张立新，陈蜀志，周寻，邓司银，卢明肖，李星，李东，赵彦，辛雪军，马玉宝，唐会毅，张祖力，严俐，王晨炜</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重庆材料研究院有限公司，深圳中广核工程设计有限公司，台山核电合营有限公司，阳江核电有限公司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14</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电力系统理化试验机器人关键技术研究及规模化应用</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裴利强，吴培伟，黄青丹，黄慧红，王勇，周新华，魏晓东，杨柳，李永强，郭如峰，赵崇智，刘静，吕慧媛，李助亚，廖伟杰</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广东电网有限责任公司广州供电局电力科学研究院，哈尔滨工业大学，国机智能科技有限公司，长沙天恒测控技术有限公司，优利德科技(中国)股份有限公司，河南中分仪器股份有限公司，上海华爱色谱分析技术有限公司，南京丹迪克科技开发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15</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高压组合电器机械电气多维状态协同检测诊断新技术</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李军浩，司渭滨，韩旭涛，牛博，吴旭涛，任勤让，李渊，杨鼎革，苏煜，张长安，黄继军，左坤，郭子豪，何聪，李毅</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国网陕西省电力有限公司电力科学研究院，西安交通大学，国网青海省电力公司电力科学研究院，国网宁夏电力有限公司电力科学研究院，北京华天机电研究所有限公司，浙江鼎格智能科技有限公司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16</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高端芯片制造专用温控装置关键技术及产业化应用</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何茂栋，芮守祯，曹小康，董春辉，常鑫，刘紫阳，李文博，冯涛，胡文达，靳李富，何文明，耿海东，顾晓虎，张少华，鲁元进</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北京京仪自动化装备技术股份有限公司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17</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高安全液冷锂电智能检测与智能管控储能系统关键技术及应用</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张艳辉，林峰平，李晓宇，范思远，周頔，赵利宏，崔剑，张孝山，高二，刘慧，桂烜，钱志强，曾春保，黄志东</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中国科学院深圳先进技术研究院，厦门科华数能科技有限公司，深圳大学，深圳市康必达控制技术有限公司，中国建筑科学研究院有限公司，深圳市计量质量检测研究院，东北电力大学，辽宁科技学院，深圳华城新能源科技有限公司，浙江启辰新能科技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18</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城市轨道交通广域回流安全监测及柔性接地控制关键技术及应用</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黄伟国，杜贵府，李巧月，朱忠奎，张栋梁，王俊，王前，沈长青，石娟娟，许峰川，王浩先，江星星，孟献仪，郑子璇，马骏陶</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苏州大学，苏州城市学院，徐州和纬信电科技有限公司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19</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山区复杂地质多波联合工程地震勘探装备研发与应用</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黄河，徐峰，柴贺军，贾学明，毛友平，史可，任志华，甘平，章文峰，项彦茂，刘中帅，刘显鑫，王立洪，赵加正，杜孟秦</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招商局重庆交通科研设计院有限公司，重庆大学，上海华测导航技术股份有限公司，广州市北二环交通科技有限公司，重庆成渝垫丰武高速公路有限公司，云南云岭公路工程试验检测有限公司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20</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电能表智慧供应链与全景质控关键技术及应用</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杨帅，刘谋海，谈丛，黄瑞，杨扬，邓汉钧，李先怀，徐虎，骆冰祥，孙斌，黄红桥，戴志波，王珏，李先志，陈红</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国网湖南省电力有限公司，哈尔滨电工仪表研究所有限公司，威胜集团有限公司，威胜信息技术股份有限公司，北京国金源富科技有限公司，北京志翔科技股份有限公司，珠海中慧微电子有限公司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21</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公路隧道结构健康智能监测装备与工程应用</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丁浩，李文锋，何传平，支珊，须民健，彭振华，肖皓文，郭航雄，周云腾，龚才华，杨喆，胡晓阳，廖志鹏，钟丹，凌睿</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招商局重庆交通科研设计院有限公司，广西新发展交通集团有限公司，重庆曾家岩大桥建设管理有限公司，辽宁科技学院，中海油石化工程有限公司，陕西交通控股集团有限公司西镇分公司，基康仪器股份有限公司，重庆大学</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22</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面向新能源汽车的多元复合材料及绿色制造集成设备关键技术创新与产业化</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丁明德，樊振华，王锦艳，翟福强，李璐，赖礼汇，刘伟廷，彭拥军，李颖，梁珊</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重庆文理学院，重庆国际复合材料股份有限公司，大连理工大学，重庆长安汽车股份有限公司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23</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锂电池生产全工序视觉检测关键技术及应用</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王刚，张权，肖圣端，赵哲，李晓冬，黎霞</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广州市易鸿智能装备股份有限公司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24</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面向智能交通的双灯管自适应智能环保补光装置及其应用</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朱广虎，沙跃兵，骆蕾，邵建文，张四海，温媛媛，程银宝，周天龙，张淳，王凯，陈小波，欧阳冰，徐辉，赵存彬，余巧艳</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杭州方千科技有限公司，浙江省计量科学研究院，青岛海信网络科技股份有限公司，中国计量大学</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25</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水下高精度惯性声学导航定位关键技术与应用</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张涛，姚逸卿，张亮，郭霖，石扬，李瑶，金博楠，颜舒琳，丁超，王广才，高铭，徐祥，宋宝雄，刘射德，夏茂栋</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东南大学，中国科学院声学研究所东海研究站，青岛杰瑞自动化有限公司，湖南大学无锡智能控制研究院，南京理工大学，江苏中海达海洋信息技术有限公司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26</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智慧矿山安全多机理感知与瓦斯粉尘仪高精度量值溯源技术</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唐守锋，曾捷，刘海，张洋，崔鸿忠，张国城，贾旭光，吴新忠，高鹏飞，谢东，郭健鹏，付宏卿，接智成，施惠民，熊洪恩</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中国矿业大学，南京航空航天大学，徐州市检验检测中心，北京市计量检测科学研究院，南水北调东线江苏水源有限责任公司徐州分公司，南京嘉兆技术有限公司，张家港谱析传感科技有限公司，徐州弘毅科技发展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27</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可燃危险气源红外光谱精确识别检测技术与应用</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陈晨，孙锋，李春光，孙灵芳，朴亨，何传亮，吴永鹏，温明明，高晓明，林君，赵容生，张义，冯国亮，马乐</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吉林大学，南方海洋科学与工程广东省实验室（湛江），北京电科智芯科技有限公司，东北电力大学，广州海洋地质调查局，中国科学院合肥物质科学研究院，深圳市柔嘉科技有限公司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28</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面向电力生产的自主可控人工智能平台关键技术、装备研制及应用</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谢晓娜，滕予非，王晓辉，张凌浩，马忠丽，向思屿，邝俊威，常政威，赵彦钧，李旭旭，李道兴，谢永康，董大祥，徐登科，张颉</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中国电力科学研究院有限公司，国网四川省电力公司电力科学研究院，成都信息工程大学，国网四川省电力公司泸州供电公司，北京百度网讯科技有限公司，四川华鲲振宇智能科技有限责任公司 ，四川嘉能佳网创新能源科技有限责任公司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29</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110GHz多功能信号频谱分析技术及仪器开发</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周钦山，董建涛，杨海俊，赵慧，马楠，张明，赵永志，张明岳，张艺瀚，唐本亭，姜雪松，程远杰，陆进东，隋尚兼，王晓宇</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中电科思仪科技股份有限公司，中国移动通信集团有限公司，北京邮电大学</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30</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配电终端智能检测装备关键技术及应用</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史常凯，关石磊，尹惠，梁英，郑格，陈洁，朱胜龙，吴岩，魏新伟，古凌云，吴燕，王鹏翔，李东升，王明，白雪峰</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中国电力科学研究院有限公司，国网安徽省电力有限公司电力科学研究院，北京博电新力电气股份有限公司，南京丹迪克科技开发有限公司，科大智能电气技术有限公司，太原理工大学</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31</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配电物资规模化智能检测技术及装备</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史会轩，王韬，曾国华，李原，赵恒，孔凡胜，穆青青，朱孟周，乐文静，王汉昌，秦威，徐曼，汪华平，徐征，胡欢</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国网电力科学研究院武汉南瑞有限责任公司，国网江苏省电力有限公司电力科学研究院</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32</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SF6/N2混合气体绝缘设备运维与监测关键技术及装备</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魏钢，曹政钦，胡敏，曾福平，代靓君，唐德东，邓保家，刘晓波，唐炬，张海兵，姚强，李建国，桂银刚，熊刚，张秀宏</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重庆科技大学，国网重庆市电力公司电力科学研究院，武汉大学，国网电力科学研究院武汉南瑞有限责任公司，河南省日立信股份有限公司，西南大学，重庆臻远电气有限公司，国网重庆市电力公司超高压分公司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33</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精密多功能数字化噪声监测仪器及其量值溯源关键技术与应用</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张志凯，牛锋，张静，晏敏锋，桑帅军，许欢，郑红，魏明，刘湘衡，何珊，张凯帆，吴德林，姚磊，裘剑敏，熊文波</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浙江省计量科学研究院，中国计量科学研究院，杭州爱华仪器有限公司，杭州爱华智能科技有限公司，湖南声仪测控科技有限责任公司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34</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多民族聚居复杂环境下公共服务与协同筑牢关键技术研究与产业应用示范</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周川，翁彧，赵绍祥，刘燕，张国锋，秦玉香，陈兆亮，毕晓君，赵小兵，楼钢，陈艺平，吴斌，宁方刚，王伟</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浪潮软件股份有限公司，中央民族大学，泰山学院</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35</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计及新型电力系统波动性的精准感知与电磁测量关键技术及应用</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熊素琴，李求洋，朱亮，刘型志，温和，陈文礼，胡琛，李扬，胡春华，冯绍勇，袁郭俊，潘琳斌，李橙橙，成达</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中国电力科学研究院有限公司，国网重庆市电力公司营销服务中心，国网江西省电力有限公司供电服务管理中心，湖南大学，宁波泰丰源电气有限公司，烟台东方威思顿电气有限公司，重庆华虹仪表有限公司，广东雅达电子股份有限公司，浙江京禾电子科技有限公司，湖南京能新能源科技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36</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面向电网复杂环境的北斗高可靠智能巡检装备关键技术及应用</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李端姣，孙文星，鄂盛龙，陈义龙，刘高，陈驰，廖如超，李昌煜，丁宁，孙晓敏，王磊，许超钤，李雄刚，张正力</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广东电网有限责任公司，广东电网有限责任公司机巡管理中心，广东电网有限责任公司电力科学研究院，武汉大学，南方电网电力科技股份有限公司，南方电网数字电网研究院有限公司，香港中文大学（深圳），深圳市道通智能航空技术股份有限公司，广东新型储能国家研究院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37</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复杂构件缺陷在线智能视觉检测关键技术及应用</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喻炜，杨蕾，陈虹，郭勐，温秀兰，胡凯，谢雨臻，孙一博，胡慧然，李杰，武华亭，张志鹏，刘爽，许超，闵济海</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中国移动通信集团有限公司，南京工程学院，东南大学，南京信息工程大学，南京天创电子技术有限公司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38</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核电厂1E级安全壳淹没液位计研制及应用</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王刚，吴雪琼，叶腾达，王伟，李亮，邹明伟，顾晴雯，黄伟杰，张宓，王胜光，唐念，李晖，付仁鲜，张汝纹，张洪</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重庆川仪自动化股份有限公司，上海核工程研究设计院股份有限公司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39</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无源无线传感网络（PWSN）关键技术与应用</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丁海煜，肖善鹏，赵嘉昊，曹艳艳，韩延涛，王曦泽，贾艳梅，方绍湖，李源，沈仲汉，赵晓光，王律，睢菲菲，王晓峰，石祚夫</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中国移动通信集团有限公司，清华大学，中国科学院空间应用工程与技术中心，京信网络系统股份有限公司，上海坤锐电子科技有限公司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40</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面向风险预测的升降机检验关键技术开发、标准研制及应用</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康笃刚，吕潇，袁旌杰，唐晓铭，贾海军，陈卓，张雷，康立贵，刘宇，贾上远，万帅，何洋，罗恒，程航，龙鹏杰</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重庆市特种设备检测研究院，重庆邮电大学</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41</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高速率多协议综合数据网络仿真测量技术及应用</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段晓东，唐本亭，马国瑞，沈文博，胡志波，杨海俊，李占有，董建涛，李晓慧，高宇，李苏扬，尹伟，汪滢，孙宏，强大平</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中国移动通信集团有限公司，北京信而泰科技股份有限公司，中电科思仪科技股份有限公司，华为技术有限公司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42</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电动汽车车网互动计量测试关键技术及装备</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钱斌，肖勇，黄建钟，林晓明，张帆，唐建林，王浩林，周密，李勋，周新华，宋滔滔，李富盛，周晓东，宋宏天，钟宇星</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南方电网科学研究院有限责任公司，深圳市星龙科技股份有限公司，南方电网电动汽车服务有限公司，长沙天恒测控技术有限公司，深圳市科陆电子科技股份有限公司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43</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新能源接入下配网台区全要素精准量测与智能管控关键技术与产业化研究</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刘亚东，郑鹏飞，张石清，龙呈，李玉霞，陆春光，金文革，余转丽，陈炎，张宝昌，刘宏彬，苏学能，高艺文，楼亮亮，于雷</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浙江万胜智能科技股份有限公司，台州学院，哈尔滨电工仪表研究所有限公司，国网四川省电力公司电力科学研究院，北京航空航天大学杭州创新研究院，国网浙江省电力有限公司营销服务中心，浙江省计量科学研究院，哈尔滨市产品质量综合检验检测中心</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44</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海洋船舶发动机大型超大型缸体制造精度智能感知与提升技术及应用</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杜柳青，余永维，鲁进，米曾真，易小波，陈罡</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重庆理工大学，重庆高金实业股份有限公司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45</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智能电能表数字化制造体系关键技术研究及产业化</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张加海，孙国栋，慕健，单曌国，张金刚，林波，牛浩，张伟，韩冬军</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烟台东方威思顿电气有限公司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46</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超低摩擦固体润滑轴承性能测试关键技术及应用</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蔡海潮，薛玉君，裴露露，李斑虎，余永健，王健，张志文，尹延经，叶军，李小强</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河南科技大学，洛阳轴承研究所有限公司，龙门实验室，河南职业技术学院</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47</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星际驻留航天器关键部件超高真空冷焊试验装置与应用</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汪力，史纪军，綦磊，孙立志，赵月帅，孟冬辉，张海峰，任国华，王莉娜，郭崇武</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北京卫星环境工程研究所</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63"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wordWrap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48</w:t>
            </w:r>
          </w:p>
        </w:tc>
        <w:tc>
          <w:tcPr>
            <w:tcW w:w="708"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小样本视觉检测关键技术与仪器</w:t>
            </w:r>
          </w:p>
        </w:tc>
        <w:tc>
          <w:tcPr>
            <w:tcW w:w="10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王田，王静静，滕婧，王传云，杨艺，张宝昌，傅瑶，岳昊嵩，黄雷，单光存</w:t>
            </w:r>
          </w:p>
        </w:tc>
        <w:tc>
          <w:tcPr>
            <w:tcW w:w="307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北京航空航天大学，电科云（北京）科技有限公司，华北电力大学，沈阳航空航天大学，河南理工大学，中国科学院长春光学精密机械与物理研究所</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2" w:afterAutospacing="0" w:line="19" w:lineRule="atLeast"/>
        <w:ind w:left="0" w:right="0"/>
        <w:jc w:val="center"/>
        <w:rPr>
          <w:rFonts w:hint="eastAsia" w:ascii="微软雅黑" w:hAnsi="微软雅黑" w:eastAsia="微软雅黑" w:cs="微软雅黑"/>
          <w:i w:val="0"/>
          <w:iCs w:val="0"/>
          <w:caps w:val="0"/>
          <w:color w:val="282828"/>
          <w:spacing w:val="0"/>
          <w:sz w:val="14"/>
          <w:szCs w:val="14"/>
          <w:bdr w:val="none" w:color="auto" w:sz="0" w:space="0"/>
          <w:shd w:val="clear"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2" w:afterAutospacing="0" w:line="19" w:lineRule="atLeast"/>
        <w:ind w:left="0" w:right="0"/>
        <w:jc w:val="center"/>
        <w:rPr>
          <w:rFonts w:hint="eastAsia" w:ascii="微软雅黑" w:hAnsi="微软雅黑" w:eastAsia="微软雅黑" w:cs="微软雅黑"/>
          <w:b/>
          <w:bCs/>
          <w:sz w:val="40"/>
          <w:szCs w:val="40"/>
        </w:rPr>
      </w:pPr>
      <w:r>
        <w:rPr>
          <w:rFonts w:hint="eastAsia" w:ascii="微软雅黑" w:hAnsi="微软雅黑" w:eastAsia="微软雅黑" w:cs="微软雅黑"/>
          <w:b/>
          <w:bCs/>
          <w:i w:val="0"/>
          <w:iCs w:val="0"/>
          <w:caps w:val="0"/>
          <w:color w:val="282828"/>
          <w:spacing w:val="0"/>
          <w:sz w:val="20"/>
          <w:szCs w:val="20"/>
          <w:bdr w:val="none" w:color="auto" w:sz="0" w:space="0"/>
          <w:shd w:val="clear" w:fill="FFFFFF"/>
        </w:rPr>
        <w:t>三等奖</w:t>
      </w:r>
    </w:p>
    <w:tbl>
      <w:tblPr>
        <w:tblW w:w="4998" w:type="pct"/>
        <w:tblInd w:w="0" w:type="dxa"/>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331"/>
        <w:gridCol w:w="1125"/>
        <w:gridCol w:w="2286"/>
        <w:gridCol w:w="4771"/>
      </w:tblGrid>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PrEx>
        <w:tc>
          <w:tcPr>
            <w:tcW w:w="167" w:type="pct"/>
            <w:tcBorders>
              <w:top w:val="single" w:color="C4CED8" w:sz="18" w:space="0"/>
              <w:left w:val="single" w:color="CCCCCC" w:sz="4" w:space="0"/>
            </w:tcBorders>
            <w:shd w:val="clear" w:color="auto" w:fill="F3F3F3"/>
            <w:tcMar>
              <w:top w:w="105" w:type="dxa"/>
              <w:left w:w="105" w:type="dxa"/>
              <w:bottom w:w="105" w:type="dxa"/>
              <w:right w:w="105" w:type="dxa"/>
            </w:tcMar>
            <w:vAlign w:val="center"/>
          </w:tcPr>
          <w:p>
            <w:pPr>
              <w:keepNext w:val="0"/>
              <w:keepLines w:val="0"/>
              <w:widowControl/>
              <w:suppressLineNumbers w:val="0"/>
              <w:spacing w:before="0" w:beforeAutospacing="0" w:after="0" w:afterAutospacing="0"/>
              <w:ind w:left="0" w:right="0"/>
              <w:jc w:val="center"/>
              <w:rPr>
                <w:b/>
                <w:bCs/>
                <w:color w:val="333333"/>
                <w:sz w:val="12"/>
                <w:szCs w:val="12"/>
              </w:rPr>
            </w:pPr>
            <w:r>
              <w:rPr>
                <w:rFonts w:ascii="宋体" w:hAnsi="宋体" w:eastAsia="宋体" w:cs="宋体"/>
                <w:b/>
                <w:bCs/>
                <w:color w:val="333333"/>
                <w:kern w:val="0"/>
                <w:sz w:val="12"/>
                <w:szCs w:val="12"/>
                <w:bdr w:val="none" w:color="auto" w:sz="0" w:space="0"/>
                <w:lang w:val="en-US" w:eastAsia="zh-CN" w:bidi="ar"/>
              </w:rPr>
              <w:t>序号</w:t>
            </w:r>
          </w:p>
        </w:tc>
        <w:tc>
          <w:tcPr>
            <w:tcW w:w="670" w:type="pct"/>
            <w:tcBorders>
              <w:top w:val="single" w:color="C4CED8" w:sz="18" w:space="0"/>
              <w:left w:val="single" w:color="CCCCCC" w:sz="4" w:space="0"/>
            </w:tcBorders>
            <w:shd w:val="clear" w:color="auto" w:fill="F3F3F3"/>
            <w:tcMar>
              <w:top w:w="105" w:type="dxa"/>
              <w:left w:w="105" w:type="dxa"/>
              <w:bottom w:w="105" w:type="dxa"/>
              <w:right w:w="105" w:type="dxa"/>
            </w:tcMar>
            <w:vAlign w:val="center"/>
          </w:tcPr>
          <w:p>
            <w:pPr>
              <w:keepNext w:val="0"/>
              <w:keepLines w:val="0"/>
              <w:widowControl/>
              <w:suppressLineNumbers w:val="0"/>
              <w:spacing w:before="0" w:beforeAutospacing="0" w:after="0" w:afterAutospacing="0"/>
              <w:ind w:left="0" w:right="0"/>
              <w:jc w:val="center"/>
              <w:rPr>
                <w:b/>
                <w:bCs/>
                <w:color w:val="333333"/>
                <w:sz w:val="12"/>
                <w:szCs w:val="12"/>
              </w:rPr>
            </w:pPr>
            <w:r>
              <w:rPr>
                <w:rFonts w:ascii="宋体" w:hAnsi="宋体" w:eastAsia="宋体" w:cs="宋体"/>
                <w:b/>
                <w:bCs/>
                <w:color w:val="333333"/>
                <w:kern w:val="0"/>
                <w:sz w:val="12"/>
                <w:szCs w:val="12"/>
                <w:bdr w:val="none" w:color="auto" w:sz="0" w:space="0"/>
                <w:lang w:val="en-US" w:eastAsia="zh-CN" w:bidi="ar"/>
              </w:rPr>
              <w:t>项目名称</w:t>
            </w:r>
          </w:p>
        </w:tc>
        <w:tc>
          <w:tcPr>
            <w:tcW w:w="1351" w:type="pct"/>
            <w:tcBorders>
              <w:top w:val="single" w:color="C4CED8" w:sz="18" w:space="0"/>
              <w:left w:val="single" w:color="CCCCCC" w:sz="4" w:space="0"/>
            </w:tcBorders>
            <w:shd w:val="clear" w:color="auto" w:fill="F3F3F3"/>
            <w:tcMar>
              <w:top w:w="105" w:type="dxa"/>
              <w:left w:w="105" w:type="dxa"/>
              <w:bottom w:w="105" w:type="dxa"/>
              <w:right w:w="105" w:type="dxa"/>
            </w:tcMar>
            <w:vAlign w:val="center"/>
          </w:tcPr>
          <w:p>
            <w:pPr>
              <w:keepNext w:val="0"/>
              <w:keepLines w:val="0"/>
              <w:widowControl/>
              <w:suppressLineNumbers w:val="0"/>
              <w:spacing w:before="0" w:beforeAutospacing="0" w:after="0" w:afterAutospacing="0"/>
              <w:ind w:left="0" w:right="0"/>
              <w:jc w:val="center"/>
              <w:rPr>
                <w:b/>
                <w:bCs/>
                <w:color w:val="333333"/>
                <w:sz w:val="12"/>
                <w:szCs w:val="12"/>
              </w:rPr>
            </w:pPr>
            <w:r>
              <w:rPr>
                <w:rFonts w:ascii="宋体" w:hAnsi="宋体" w:eastAsia="宋体" w:cs="宋体"/>
                <w:b/>
                <w:bCs/>
                <w:color w:val="333333"/>
                <w:kern w:val="0"/>
                <w:sz w:val="12"/>
                <w:szCs w:val="12"/>
                <w:bdr w:val="none" w:color="auto" w:sz="0" w:space="0"/>
                <w:lang w:val="en-US" w:eastAsia="zh-CN" w:bidi="ar"/>
              </w:rPr>
              <w:t>主要完成人</w:t>
            </w:r>
          </w:p>
        </w:tc>
        <w:tc>
          <w:tcPr>
            <w:tcW w:w="2810" w:type="pct"/>
            <w:tcBorders>
              <w:top w:val="single" w:color="C4CED8" w:sz="18" w:space="0"/>
              <w:left w:val="single" w:color="CCCCCC" w:sz="4" w:space="0"/>
            </w:tcBorders>
            <w:shd w:val="clear" w:color="auto" w:fill="F3F3F3"/>
            <w:tcMar>
              <w:top w:w="105" w:type="dxa"/>
              <w:left w:w="105" w:type="dxa"/>
              <w:bottom w:w="105" w:type="dxa"/>
              <w:right w:w="105" w:type="dxa"/>
            </w:tcMar>
            <w:vAlign w:val="center"/>
          </w:tcPr>
          <w:p>
            <w:pPr>
              <w:keepNext w:val="0"/>
              <w:keepLines w:val="0"/>
              <w:widowControl/>
              <w:suppressLineNumbers w:val="0"/>
              <w:spacing w:before="0" w:beforeAutospacing="0" w:after="0" w:afterAutospacing="0"/>
              <w:ind w:left="0" w:right="0"/>
              <w:jc w:val="center"/>
              <w:rPr>
                <w:b/>
                <w:bCs/>
                <w:color w:val="333333"/>
                <w:sz w:val="12"/>
                <w:szCs w:val="12"/>
              </w:rPr>
            </w:pPr>
            <w:r>
              <w:rPr>
                <w:rFonts w:ascii="宋体" w:hAnsi="宋体" w:eastAsia="宋体" w:cs="宋体"/>
                <w:b/>
                <w:bCs/>
                <w:color w:val="333333"/>
                <w:kern w:val="0"/>
                <w:sz w:val="12"/>
                <w:szCs w:val="12"/>
                <w:bdr w:val="none" w:color="auto" w:sz="0" w:space="0"/>
                <w:lang w:val="en-US" w:eastAsia="zh-CN" w:bidi="ar"/>
              </w:rPr>
              <w:t>主要完成单位</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7"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1</w:t>
            </w:r>
          </w:p>
        </w:tc>
        <w:tc>
          <w:tcPr>
            <w:tcW w:w="67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高速飞行器太赫兹探测技术与应用</w:t>
            </w:r>
          </w:p>
        </w:tc>
        <w:tc>
          <w:tcPr>
            <w:tcW w:w="1351"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刘帅，刘鑫，梁健，张爱媛，边晶晶，王虎妹，黄宇飞，吕争，邢健，刘亚利</w:t>
            </w:r>
          </w:p>
        </w:tc>
        <w:tc>
          <w:tcPr>
            <w:tcW w:w="281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中国空间技术研究院，大连理工大学，北京明远空间电子信息技术有限公司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7"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2</w:t>
            </w:r>
          </w:p>
        </w:tc>
        <w:tc>
          <w:tcPr>
            <w:tcW w:w="67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全新智能化超高效液相色谱分离技术与装置</w:t>
            </w:r>
          </w:p>
        </w:tc>
        <w:tc>
          <w:tcPr>
            <w:tcW w:w="1351"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于德秀，王丰琳，孙元社，马周，周新颖，杨三东，王文晶，董智勇，李唐裔，韩雪，李亚博，李彤</w:t>
            </w:r>
          </w:p>
        </w:tc>
        <w:tc>
          <w:tcPr>
            <w:tcW w:w="281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苏州依利特科技有限公司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67"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3</w:t>
            </w:r>
          </w:p>
        </w:tc>
        <w:tc>
          <w:tcPr>
            <w:tcW w:w="67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基于环境多物理场及运行特征的电力芯片动模应用验证关键技术</w:t>
            </w:r>
          </w:p>
        </w:tc>
        <w:tc>
          <w:tcPr>
            <w:tcW w:w="1351"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陈燕宁，杜关祥，赵扬，高杰，刘芳，成睿琦，杨小娟，夏晓健，仝傲宇，黄保成，翟振，倪芳</w:t>
            </w:r>
          </w:p>
        </w:tc>
        <w:tc>
          <w:tcPr>
            <w:tcW w:w="281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北京智芯微电子科技有限公司，南京邮电大学，国网福建省电力有限公司电力科学研究院</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7"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4</w:t>
            </w:r>
          </w:p>
        </w:tc>
        <w:tc>
          <w:tcPr>
            <w:tcW w:w="67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分布式光伏台区负荷协同调节的关键技术与应用</w:t>
            </w:r>
          </w:p>
        </w:tc>
        <w:tc>
          <w:tcPr>
            <w:tcW w:w="1351"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刘单华，黄丹，左勇，唐丽，陈月，丁建顺，梁晓伟，周永刚，吕朋朋，李佳燚，王勇</w:t>
            </w:r>
          </w:p>
        </w:tc>
        <w:tc>
          <w:tcPr>
            <w:tcW w:w="281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国网安徽省电力有限公司营销服务中心，黑龙江省电工仪器仪表工程技术研究中心有限公司，安徽南瑞中天电力电子有限公司，国电南瑞南京控制系统有限公司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7"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5</w:t>
            </w:r>
          </w:p>
        </w:tc>
        <w:tc>
          <w:tcPr>
            <w:tcW w:w="67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面向遥感动态目标识别与跟踪的密集连接型残差神经网络技术</w:t>
            </w:r>
          </w:p>
        </w:tc>
        <w:tc>
          <w:tcPr>
            <w:tcW w:w="1351"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刘妍妍，李进，李国宁，张瑜，李超群</w:t>
            </w:r>
          </w:p>
        </w:tc>
        <w:tc>
          <w:tcPr>
            <w:tcW w:w="281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长春理工大学，中国科学院长春光学精密机械与物理研究所，北京航空航天大学</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7"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6</w:t>
            </w:r>
          </w:p>
        </w:tc>
        <w:tc>
          <w:tcPr>
            <w:tcW w:w="67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新型电能计量装置关键技术研究及规模化应用</w:t>
            </w:r>
          </w:p>
        </w:tc>
        <w:tc>
          <w:tcPr>
            <w:tcW w:w="1351"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郜波    ，林繁涛，姜洪浪，王晓东，王爽，赵婷，樊琳，许晶，段晓萌，陈文礼，林玲，赵琮，朱虹，左嘉，罗冉冉</w:t>
            </w:r>
          </w:p>
        </w:tc>
        <w:tc>
          <w:tcPr>
            <w:tcW w:w="281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中国电力科学研究院有限公司，北京智芯微电子科技有限公司，国网重庆市电力公司营销服务中心，深圳市锐能微科技有限公司，杭州万高科技股份有限公司，华立科技股份有限公司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67"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7</w:t>
            </w:r>
          </w:p>
        </w:tc>
        <w:tc>
          <w:tcPr>
            <w:tcW w:w="67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长管道GIS电力互感器现场检测关键技术研究与工程应用</w:t>
            </w:r>
          </w:p>
        </w:tc>
        <w:tc>
          <w:tcPr>
            <w:tcW w:w="1351"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翟少磊，魏龄，陈文华，朱梦梦，沈鑫，朱全聪，林聪，唐立军，裴建昀，杨宇韬，许灵洁，罗凯，张锡然，曾园园，方胜</w:t>
            </w:r>
          </w:p>
        </w:tc>
        <w:tc>
          <w:tcPr>
            <w:tcW w:w="281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云南电网有限责任公司电力科学研究院，云南电力技术有限责任公司，武汉磐电科技股份有限公司，云南电网有限责任公司计量中心，云南电网有限责任公司楚雄供电局，云南电网有限责任公司红河供电局</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7"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8</w:t>
            </w:r>
          </w:p>
        </w:tc>
        <w:tc>
          <w:tcPr>
            <w:tcW w:w="67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超低温保存箱量值溯源关键技术研究、装备研制及应用</w:t>
            </w:r>
          </w:p>
        </w:tc>
        <w:tc>
          <w:tcPr>
            <w:tcW w:w="1351"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杨红艳，邱萍，马凤宝，王涛，朱佳奇，康慧雯 ，沙跃兵，成英淑，李姣姣，罗犇，纪洪芝，李丽，周梦娜，李军锋，李征</w:t>
            </w:r>
          </w:p>
        </w:tc>
        <w:tc>
          <w:tcPr>
            <w:tcW w:w="281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成都市计量检定测试院，中国计量科学研究院，青岛海尔生物医疗股份有限公司，上海市质量监督检验技术研究院，广西壮族自治区计量检测研究院，浙江省计量科学研究院，宁波市计量测试研究院（宁波新材料检验检测中心），北京服装学院，扬州市检验检测中心，北京林电伟业电子技术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7"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9</w:t>
            </w:r>
          </w:p>
        </w:tc>
        <w:tc>
          <w:tcPr>
            <w:tcW w:w="67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压水堆核电厂核能抽汽供热控制系统关键技术研究及应用</w:t>
            </w:r>
          </w:p>
        </w:tc>
        <w:tc>
          <w:tcPr>
            <w:tcW w:w="1351"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李建伟，王翔宇，徐国彬，张秉卓，范少华，吴志钢，崔青蓝，王珊珊，谢红军，张真，王志伟，邢照凯，周勇锋，蔡向阳，宋达</w:t>
            </w:r>
          </w:p>
        </w:tc>
        <w:tc>
          <w:tcPr>
            <w:tcW w:w="281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山东核电有限公司，国核电力规划设计研究院有限公司，上海核工程研究设计院股份有限公司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67"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10</w:t>
            </w:r>
          </w:p>
        </w:tc>
        <w:tc>
          <w:tcPr>
            <w:tcW w:w="67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运行电能表全场景状态评价及在线运维关键技术研究与运用</w:t>
            </w:r>
          </w:p>
        </w:tc>
        <w:tc>
          <w:tcPr>
            <w:tcW w:w="1351"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刘清蝉，钟尧，李腾斌，起家琦，常军超，林聪，杨超，宋洋，丁心志，梁佳麟，杨森，郑丰益，李兆竹，金琦皓，罗金鹏</w:t>
            </w:r>
          </w:p>
        </w:tc>
        <w:tc>
          <w:tcPr>
            <w:tcW w:w="281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云南电网有限责任公司，重庆大学，云南电力试验研究院（集团）有限公司，北京志翔科技股份有限公司，朗新科技集团股份有限公司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7"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11</w:t>
            </w:r>
          </w:p>
        </w:tc>
        <w:tc>
          <w:tcPr>
            <w:tcW w:w="67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盾构施工隧道破岩震源实时超前地质预报技术及装备</w:t>
            </w:r>
          </w:p>
        </w:tc>
        <w:tc>
          <w:tcPr>
            <w:tcW w:w="1351"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卢松，汪旭，何晓勇，肖洋，李苍松，孟露，牟元存，魏晓龙，赵子越，丁建芳</w:t>
            </w:r>
          </w:p>
        </w:tc>
        <w:tc>
          <w:tcPr>
            <w:tcW w:w="281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中铁科学研究院有限公司，中铁西南科学研究院有限公司，中铁开发投资集团有限公司，中铁二院成都工程检测有限责任公司，中铁工程装备集团有限公司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7"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12</w:t>
            </w:r>
          </w:p>
        </w:tc>
        <w:tc>
          <w:tcPr>
            <w:tcW w:w="67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面向新型配电网的边缘计算智能协同关键技术及产业化应用</w:t>
            </w:r>
          </w:p>
        </w:tc>
        <w:tc>
          <w:tcPr>
            <w:tcW w:w="1351"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郑利斌，吴大鹏，霍超，张普宁，丁啸，张冀川，闫波，林佳颖，尹志斌，刘浩，张博，周颖，张鸿，王洪勉，张港红</w:t>
            </w:r>
          </w:p>
        </w:tc>
        <w:tc>
          <w:tcPr>
            <w:tcW w:w="281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北京智芯微电子科技有限公司，重庆邮电大学，北京电科智芯科技有限公司，国网上海能源互联网研究院有限公司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7"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13</w:t>
            </w:r>
          </w:p>
        </w:tc>
        <w:tc>
          <w:tcPr>
            <w:tcW w:w="67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大规模用电信息采集系统数字与真型混合仿真技术及应用</w:t>
            </w:r>
          </w:p>
        </w:tc>
        <w:tc>
          <w:tcPr>
            <w:tcW w:w="1351"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刘宣，郄爽，窦健，郑安刚，陈祉如，刘谋海，郑红娟，陈鑫，唐悦，董得龙，巫钟兴，薛阳，张志，曾文伟，张宇峰</w:t>
            </w:r>
          </w:p>
        </w:tc>
        <w:tc>
          <w:tcPr>
            <w:tcW w:w="281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中国电力科学研究院有限公司，国网天津市电力公司营销服务中心，国网山东省电力公司营销服务中心（计量中心），国网湖南省电力有限公司供电服务中心（计量中心），国电南瑞南京控制系统有限公司，浙江华云信息科技有限公司，南京协胜智能科技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7"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14</w:t>
            </w:r>
          </w:p>
        </w:tc>
        <w:tc>
          <w:tcPr>
            <w:tcW w:w="67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航天电液伺服阀关键基础特性测试技术及应用</w:t>
            </w:r>
          </w:p>
        </w:tc>
        <w:tc>
          <w:tcPr>
            <w:tcW w:w="1351"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董立静，延皓，王鹏，张恒轩，仇立波，单洁锋，李佳丰，蔡存坤，胡娜，陈琴，左哲清，潘英</w:t>
            </w:r>
          </w:p>
        </w:tc>
        <w:tc>
          <w:tcPr>
            <w:tcW w:w="281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北京交通大学，北京精密机电控制设备研究所</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67"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15</w:t>
            </w:r>
          </w:p>
        </w:tc>
        <w:tc>
          <w:tcPr>
            <w:tcW w:w="67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电力监控系统功性能与安全验证测试体系、关键技术及推广应用</w:t>
            </w:r>
          </w:p>
        </w:tc>
        <w:tc>
          <w:tcPr>
            <w:tcW w:w="1351"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代仕勇，黄缙华，顾博川，黄曙，曾瑞江，刘宇豪，陆荟颖，吴跃隆，冯善强，林丹生，汪绪先，李志勇</w:t>
            </w:r>
          </w:p>
        </w:tc>
        <w:tc>
          <w:tcPr>
            <w:tcW w:w="281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广东电网有限责任公司，南方电网电力科技股份有限公司，东方电子股份有限公司，积成电子股份有限公司，南京南瑞继保工程技术有限公司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7"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16</w:t>
            </w:r>
          </w:p>
        </w:tc>
        <w:tc>
          <w:tcPr>
            <w:tcW w:w="67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高品质城市智慧停车基础设施韧性增强关键技术及应用</w:t>
            </w:r>
          </w:p>
        </w:tc>
        <w:tc>
          <w:tcPr>
            <w:tcW w:w="1351"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郑浩，高一聪，顾晓锋，杨尚，密尚华，刘玲，施晓玲，葛燕庆，赵玉亮，范国良，李中一，王梦璕，吕洪峰，曾思远，宋马军</w:t>
            </w:r>
          </w:p>
        </w:tc>
        <w:tc>
          <w:tcPr>
            <w:tcW w:w="281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北京航空航天大学杭州创新研究院，浙江大学，杭州西子智能停车股份有限公司，中国电建集团江西省电力设计院有限公司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67"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17</w:t>
            </w:r>
          </w:p>
        </w:tc>
        <w:tc>
          <w:tcPr>
            <w:tcW w:w="67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环保产治污联防联控及精准溯源仪表关键技术与应用</w:t>
            </w:r>
          </w:p>
        </w:tc>
        <w:tc>
          <w:tcPr>
            <w:tcW w:w="1351"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戴庆武，赵书娴，毛磊，高成林，袁鑫，葛倩雯，陆银生，苏志霖，陈庆庆</w:t>
            </w:r>
          </w:p>
        </w:tc>
        <w:tc>
          <w:tcPr>
            <w:tcW w:w="281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江苏汇环环保科技有限公司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7"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18</w:t>
            </w:r>
          </w:p>
        </w:tc>
        <w:tc>
          <w:tcPr>
            <w:tcW w:w="67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基于区块链的可信碳计量监测装备与平台研发及应用</w:t>
            </w:r>
          </w:p>
        </w:tc>
        <w:tc>
          <w:tcPr>
            <w:tcW w:w="1351"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周晓阳，石进，戚湧，孙凯，闫静杰，杨国忠，赵丹怀，张晓艳，刘颖，包岩，李玉杰，樊期光，苗丹，肖坤，卫俊俊</w:t>
            </w:r>
          </w:p>
        </w:tc>
        <w:tc>
          <w:tcPr>
            <w:tcW w:w="281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中国移动紫金（江苏）创新研究院有限公司，南京大学，南京理工大学，南京邮电大学，江苏荣泽信息科技股份有限公司，中国移动通信集团江苏有限公司南京分公司，苏州思萃区块链技术研究所有限公司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7"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19</w:t>
            </w:r>
          </w:p>
        </w:tc>
        <w:tc>
          <w:tcPr>
            <w:tcW w:w="67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高可靠界面稳定电化学气体传感器</w:t>
            </w:r>
          </w:p>
        </w:tc>
        <w:tc>
          <w:tcPr>
            <w:tcW w:w="1351"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张小水，古瑞琴，刘红霞，雷同贵，田勇，高胜国，钟克创，杨洋</w:t>
            </w:r>
          </w:p>
        </w:tc>
        <w:tc>
          <w:tcPr>
            <w:tcW w:w="281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郑州炜盛电子科技有限公司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7"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20</w:t>
            </w:r>
          </w:p>
        </w:tc>
        <w:tc>
          <w:tcPr>
            <w:tcW w:w="67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海洋工程装备多尺度几何参数在线计量及应用关键技术</w:t>
            </w:r>
          </w:p>
        </w:tc>
        <w:tc>
          <w:tcPr>
            <w:tcW w:w="1351"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陈宁，郭钢祥，杨俊毅，孔明，禹静，陈挺，王超，陈元杰，郭斌</w:t>
            </w:r>
          </w:p>
        </w:tc>
        <w:tc>
          <w:tcPr>
            <w:tcW w:w="281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浙江省计量科学研究院，中国计量大学，杭州电子科技大学</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167"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21</w:t>
            </w:r>
          </w:p>
        </w:tc>
        <w:tc>
          <w:tcPr>
            <w:tcW w:w="67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可精准调控的高可靠性机械压力开关关键技术与应用</w:t>
            </w:r>
          </w:p>
        </w:tc>
        <w:tc>
          <w:tcPr>
            <w:tcW w:w="1351"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马斌，徐嘉骏，唐松，刘朝强，杨晓明，朱帅帅，吉爱红，曹凯，文晓朗，陈保荣，王建超，张鹏，冉杨莉，张梦，王波</w:t>
            </w:r>
          </w:p>
        </w:tc>
        <w:tc>
          <w:tcPr>
            <w:tcW w:w="2810"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江元（天长）科技股份有限公司，江元（重庆）科技集团股份有限公司，南京航空航天大学，韦多默（重庆）自动化设备有限公司，韦多默自动化（深圳）有限公司</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2" w:afterAutospacing="0" w:line="19" w:lineRule="atLeast"/>
        <w:ind w:left="0" w:right="0"/>
        <w:jc w:val="center"/>
        <w:rPr>
          <w:rStyle w:val="5"/>
          <w:rFonts w:hint="eastAsia" w:ascii="微软雅黑" w:hAnsi="微软雅黑" w:eastAsia="微软雅黑" w:cs="微软雅黑"/>
          <w:i w:val="0"/>
          <w:iCs w:val="0"/>
          <w:caps w:val="0"/>
          <w:color w:val="282828"/>
          <w:spacing w:val="0"/>
          <w:sz w:val="14"/>
          <w:szCs w:val="14"/>
          <w:bdr w:val="none" w:color="auto" w:sz="0" w:space="0"/>
          <w:shd w:val="clear"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2" w:afterAutospacing="0" w:line="19" w:lineRule="atLeast"/>
        <w:ind w:left="0" w:right="0"/>
        <w:jc w:val="center"/>
        <w:rPr>
          <w:rFonts w:hint="eastAsia" w:ascii="微软雅黑" w:hAnsi="微软雅黑" w:eastAsia="微软雅黑" w:cs="微软雅黑"/>
          <w:sz w:val="40"/>
          <w:szCs w:val="40"/>
        </w:rPr>
      </w:pPr>
      <w:r>
        <w:rPr>
          <w:rStyle w:val="5"/>
          <w:rFonts w:hint="eastAsia" w:ascii="微软雅黑" w:hAnsi="微软雅黑" w:eastAsia="微软雅黑" w:cs="微软雅黑"/>
          <w:i w:val="0"/>
          <w:iCs w:val="0"/>
          <w:caps w:val="0"/>
          <w:color w:val="282828"/>
          <w:spacing w:val="0"/>
          <w:sz w:val="20"/>
          <w:szCs w:val="20"/>
          <w:bdr w:val="none" w:color="auto" w:sz="0" w:space="0"/>
          <w:shd w:val="clear" w:fill="FFFFFF"/>
        </w:rPr>
        <w:t>青年科技奖</w:t>
      </w:r>
    </w:p>
    <w:tbl>
      <w:tblPr>
        <w:tblW w:w="4999" w:type="pct"/>
        <w:tblInd w:w="0" w:type="dxa"/>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1229"/>
        <w:gridCol w:w="1230"/>
        <w:gridCol w:w="6055"/>
      </w:tblGrid>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22" w:type="pct"/>
            <w:tcBorders>
              <w:top w:val="single" w:color="C4CED8" w:sz="18" w:space="0"/>
              <w:left w:val="single" w:color="CCCCCC" w:sz="4" w:space="0"/>
            </w:tcBorders>
            <w:shd w:val="clear" w:color="auto" w:fill="F3F3F3"/>
            <w:tcMar>
              <w:top w:w="105" w:type="dxa"/>
              <w:left w:w="105" w:type="dxa"/>
              <w:bottom w:w="105" w:type="dxa"/>
              <w:right w:w="105" w:type="dxa"/>
            </w:tcMar>
            <w:vAlign w:val="center"/>
          </w:tcPr>
          <w:p>
            <w:pPr>
              <w:keepNext w:val="0"/>
              <w:keepLines w:val="0"/>
              <w:widowControl/>
              <w:suppressLineNumbers w:val="0"/>
              <w:spacing w:before="0" w:beforeAutospacing="0" w:after="0" w:afterAutospacing="0"/>
              <w:ind w:left="0" w:right="0"/>
              <w:jc w:val="center"/>
              <w:rPr>
                <w:b/>
                <w:bCs/>
                <w:color w:val="333333"/>
                <w:sz w:val="12"/>
                <w:szCs w:val="12"/>
              </w:rPr>
            </w:pPr>
            <w:r>
              <w:rPr>
                <w:rFonts w:ascii="宋体" w:hAnsi="宋体" w:eastAsia="宋体" w:cs="宋体"/>
                <w:b/>
                <w:bCs/>
                <w:color w:val="333333"/>
                <w:kern w:val="0"/>
                <w:sz w:val="12"/>
                <w:szCs w:val="12"/>
                <w:bdr w:val="none" w:color="auto" w:sz="0" w:space="0"/>
                <w:lang w:val="en-US" w:eastAsia="zh-CN" w:bidi="ar"/>
              </w:rPr>
              <w:t>序号</w:t>
            </w:r>
          </w:p>
        </w:tc>
        <w:tc>
          <w:tcPr>
            <w:tcW w:w="722" w:type="pct"/>
            <w:tcBorders>
              <w:top w:val="single" w:color="C4CED8" w:sz="18" w:space="0"/>
              <w:left w:val="single" w:color="CCCCCC" w:sz="4" w:space="0"/>
            </w:tcBorders>
            <w:shd w:val="clear" w:color="auto" w:fill="F3F3F3"/>
            <w:tcMar>
              <w:top w:w="105" w:type="dxa"/>
              <w:left w:w="105" w:type="dxa"/>
              <w:bottom w:w="105" w:type="dxa"/>
              <w:right w:w="105" w:type="dxa"/>
            </w:tcMar>
            <w:vAlign w:val="center"/>
          </w:tcPr>
          <w:p>
            <w:pPr>
              <w:keepNext w:val="0"/>
              <w:keepLines w:val="0"/>
              <w:widowControl/>
              <w:suppressLineNumbers w:val="0"/>
              <w:spacing w:before="0" w:beforeAutospacing="0" w:after="0" w:afterAutospacing="0"/>
              <w:ind w:left="0" w:right="0"/>
              <w:jc w:val="center"/>
              <w:rPr>
                <w:b/>
                <w:bCs/>
                <w:color w:val="333333"/>
                <w:sz w:val="12"/>
                <w:szCs w:val="12"/>
              </w:rPr>
            </w:pPr>
            <w:r>
              <w:rPr>
                <w:rFonts w:ascii="宋体" w:hAnsi="宋体" w:eastAsia="宋体" w:cs="宋体"/>
                <w:b/>
                <w:bCs/>
                <w:color w:val="333333"/>
                <w:kern w:val="0"/>
                <w:sz w:val="12"/>
                <w:szCs w:val="12"/>
                <w:bdr w:val="none" w:color="auto" w:sz="0" w:space="0"/>
                <w:lang w:val="en-US" w:eastAsia="zh-CN" w:bidi="ar"/>
              </w:rPr>
              <w:t>姓名</w:t>
            </w:r>
          </w:p>
        </w:tc>
        <w:tc>
          <w:tcPr>
            <w:tcW w:w="3555" w:type="pct"/>
            <w:tcBorders>
              <w:top w:val="single" w:color="C4CED8" w:sz="18" w:space="0"/>
              <w:left w:val="single" w:color="CCCCCC" w:sz="4" w:space="0"/>
            </w:tcBorders>
            <w:shd w:val="clear" w:color="auto" w:fill="F3F3F3"/>
            <w:tcMar>
              <w:top w:w="105" w:type="dxa"/>
              <w:left w:w="105" w:type="dxa"/>
              <w:bottom w:w="105" w:type="dxa"/>
              <w:right w:w="105" w:type="dxa"/>
            </w:tcMar>
            <w:vAlign w:val="center"/>
          </w:tcPr>
          <w:p>
            <w:pPr>
              <w:keepNext w:val="0"/>
              <w:keepLines w:val="0"/>
              <w:widowControl/>
              <w:suppressLineNumbers w:val="0"/>
              <w:spacing w:before="0" w:beforeAutospacing="0" w:after="0" w:afterAutospacing="0"/>
              <w:ind w:left="0" w:right="0"/>
              <w:jc w:val="center"/>
              <w:rPr>
                <w:b/>
                <w:bCs/>
                <w:color w:val="333333"/>
                <w:sz w:val="12"/>
                <w:szCs w:val="12"/>
              </w:rPr>
            </w:pPr>
            <w:r>
              <w:rPr>
                <w:rFonts w:ascii="宋体" w:hAnsi="宋体" w:eastAsia="宋体" w:cs="宋体"/>
                <w:b/>
                <w:bCs/>
                <w:color w:val="333333"/>
                <w:kern w:val="0"/>
                <w:sz w:val="12"/>
                <w:szCs w:val="12"/>
                <w:bdr w:val="none" w:color="auto" w:sz="0" w:space="0"/>
                <w:lang w:val="en-US" w:eastAsia="zh-CN" w:bidi="ar"/>
              </w:rPr>
              <w:t>所属单位</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72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1</w:t>
            </w:r>
          </w:p>
        </w:tc>
        <w:tc>
          <w:tcPr>
            <w:tcW w:w="72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何益</w:t>
            </w:r>
          </w:p>
        </w:tc>
        <w:tc>
          <w:tcPr>
            <w:tcW w:w="35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中国科学院苏州生物医学工程技术研究所</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72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2</w:t>
            </w:r>
          </w:p>
        </w:tc>
        <w:tc>
          <w:tcPr>
            <w:tcW w:w="72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钱锦远</w:t>
            </w:r>
          </w:p>
        </w:tc>
        <w:tc>
          <w:tcPr>
            <w:tcW w:w="35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浙江大学</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2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3</w:t>
            </w:r>
          </w:p>
        </w:tc>
        <w:tc>
          <w:tcPr>
            <w:tcW w:w="72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赵晓光</w:t>
            </w:r>
          </w:p>
        </w:tc>
        <w:tc>
          <w:tcPr>
            <w:tcW w:w="35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清华大学</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2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4</w:t>
            </w:r>
          </w:p>
        </w:tc>
        <w:tc>
          <w:tcPr>
            <w:tcW w:w="72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郭寅</w:t>
            </w:r>
          </w:p>
        </w:tc>
        <w:tc>
          <w:tcPr>
            <w:tcW w:w="35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易思维（杭州）科技股份有限公司</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72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5</w:t>
            </w:r>
          </w:p>
        </w:tc>
        <w:tc>
          <w:tcPr>
            <w:tcW w:w="72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李浩宇</w:t>
            </w:r>
          </w:p>
        </w:tc>
        <w:tc>
          <w:tcPr>
            <w:tcW w:w="35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哈尔滨工业大学</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72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6</w:t>
            </w:r>
          </w:p>
        </w:tc>
        <w:tc>
          <w:tcPr>
            <w:tcW w:w="72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卞雷祥</w:t>
            </w:r>
          </w:p>
        </w:tc>
        <w:tc>
          <w:tcPr>
            <w:tcW w:w="35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南京理工大学</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72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7</w:t>
            </w:r>
          </w:p>
        </w:tc>
        <w:tc>
          <w:tcPr>
            <w:tcW w:w="72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杨健</w:t>
            </w:r>
          </w:p>
        </w:tc>
        <w:tc>
          <w:tcPr>
            <w:tcW w:w="35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北京航空航天大学</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72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8</w:t>
            </w:r>
          </w:p>
        </w:tc>
        <w:tc>
          <w:tcPr>
            <w:tcW w:w="722"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包泽宇</w:t>
            </w:r>
          </w:p>
        </w:tc>
        <w:tc>
          <w:tcPr>
            <w:tcW w:w="3555"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中国空间技术研究院</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2" w:afterAutospacing="0" w:line="19" w:lineRule="atLeast"/>
        <w:ind w:left="0" w:right="0"/>
        <w:jc w:val="center"/>
        <w:rPr>
          <w:rStyle w:val="5"/>
          <w:rFonts w:hint="eastAsia" w:ascii="微软雅黑" w:hAnsi="微软雅黑" w:eastAsia="微软雅黑" w:cs="微软雅黑"/>
          <w:i w:val="0"/>
          <w:iCs w:val="0"/>
          <w:caps w:val="0"/>
          <w:color w:val="282828"/>
          <w:spacing w:val="0"/>
          <w:sz w:val="14"/>
          <w:szCs w:val="14"/>
          <w:bdr w:val="none" w:color="auto" w:sz="0" w:space="0"/>
          <w:shd w:val="clear"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2" w:afterAutospacing="0" w:line="19" w:lineRule="atLeast"/>
        <w:ind w:left="0" w:right="0"/>
        <w:jc w:val="center"/>
        <w:rPr>
          <w:rFonts w:hint="eastAsia" w:ascii="微软雅黑" w:hAnsi="微软雅黑" w:eastAsia="微软雅黑" w:cs="微软雅黑"/>
          <w:sz w:val="40"/>
          <w:szCs w:val="40"/>
        </w:rPr>
      </w:pPr>
      <w:r>
        <w:rPr>
          <w:rStyle w:val="5"/>
          <w:rFonts w:hint="eastAsia" w:ascii="微软雅黑" w:hAnsi="微软雅黑" w:eastAsia="微软雅黑" w:cs="微软雅黑"/>
          <w:i w:val="0"/>
          <w:iCs w:val="0"/>
          <w:caps w:val="0"/>
          <w:color w:val="282828"/>
          <w:spacing w:val="0"/>
          <w:sz w:val="20"/>
          <w:szCs w:val="20"/>
          <w:bdr w:val="none" w:color="auto" w:sz="0" w:space="0"/>
          <w:shd w:val="clear" w:fill="FFFFFF"/>
        </w:rPr>
        <w:t>国际科学技术合作奖</w:t>
      </w:r>
    </w:p>
    <w:tbl>
      <w:tblPr>
        <w:tblW w:w="4999" w:type="pct"/>
        <w:tblInd w:w="0" w:type="dxa"/>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1203"/>
        <w:gridCol w:w="1535"/>
        <w:gridCol w:w="5776"/>
      </w:tblGrid>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06" w:type="pct"/>
            <w:tcBorders>
              <w:top w:val="single" w:color="C4CED8" w:sz="18" w:space="0"/>
              <w:left w:val="single" w:color="CCCCCC" w:sz="4" w:space="0"/>
            </w:tcBorders>
            <w:shd w:val="clear" w:color="auto" w:fill="F3F3F3"/>
            <w:tcMar>
              <w:top w:w="105" w:type="dxa"/>
              <w:left w:w="105" w:type="dxa"/>
              <w:bottom w:w="105" w:type="dxa"/>
              <w:right w:w="105" w:type="dxa"/>
            </w:tcMar>
            <w:vAlign w:val="center"/>
          </w:tcPr>
          <w:p>
            <w:pPr>
              <w:keepNext w:val="0"/>
              <w:keepLines w:val="0"/>
              <w:widowControl/>
              <w:suppressLineNumbers w:val="0"/>
              <w:spacing w:before="0" w:beforeAutospacing="0" w:after="0" w:afterAutospacing="0"/>
              <w:ind w:left="0" w:right="0"/>
              <w:jc w:val="center"/>
              <w:rPr>
                <w:b/>
                <w:bCs/>
                <w:color w:val="333333"/>
                <w:sz w:val="12"/>
                <w:szCs w:val="12"/>
              </w:rPr>
            </w:pPr>
            <w:r>
              <w:rPr>
                <w:rFonts w:ascii="宋体" w:hAnsi="宋体" w:eastAsia="宋体" w:cs="宋体"/>
                <w:b/>
                <w:bCs/>
                <w:color w:val="333333"/>
                <w:kern w:val="0"/>
                <w:sz w:val="12"/>
                <w:szCs w:val="12"/>
                <w:bdr w:val="none" w:color="auto" w:sz="0" w:space="0"/>
                <w:lang w:val="en-US" w:eastAsia="zh-CN" w:bidi="ar"/>
              </w:rPr>
              <w:t>姓名</w:t>
            </w:r>
          </w:p>
        </w:tc>
        <w:tc>
          <w:tcPr>
            <w:tcW w:w="901" w:type="pct"/>
            <w:tcBorders>
              <w:top w:val="single" w:color="C4CED8" w:sz="18" w:space="0"/>
              <w:left w:val="single" w:color="CCCCCC" w:sz="4" w:space="0"/>
            </w:tcBorders>
            <w:shd w:val="clear" w:color="auto" w:fill="F3F3F3"/>
            <w:tcMar>
              <w:top w:w="105" w:type="dxa"/>
              <w:left w:w="105" w:type="dxa"/>
              <w:bottom w:w="105" w:type="dxa"/>
              <w:right w:w="105" w:type="dxa"/>
            </w:tcMar>
            <w:vAlign w:val="center"/>
          </w:tcPr>
          <w:p>
            <w:pPr>
              <w:keepNext w:val="0"/>
              <w:keepLines w:val="0"/>
              <w:widowControl/>
              <w:suppressLineNumbers w:val="0"/>
              <w:spacing w:before="0" w:beforeAutospacing="0" w:after="0" w:afterAutospacing="0"/>
              <w:ind w:left="0" w:right="0"/>
              <w:jc w:val="center"/>
              <w:rPr>
                <w:b/>
                <w:bCs/>
                <w:color w:val="333333"/>
                <w:sz w:val="12"/>
                <w:szCs w:val="12"/>
              </w:rPr>
            </w:pPr>
            <w:r>
              <w:rPr>
                <w:rFonts w:ascii="宋体" w:hAnsi="宋体" w:eastAsia="宋体" w:cs="宋体"/>
                <w:b/>
                <w:bCs/>
                <w:color w:val="333333"/>
                <w:kern w:val="0"/>
                <w:sz w:val="12"/>
                <w:szCs w:val="12"/>
                <w:bdr w:val="none" w:color="auto" w:sz="0" w:space="0"/>
                <w:lang w:val="en-US" w:eastAsia="zh-CN" w:bidi="ar"/>
              </w:rPr>
              <w:t>国籍</w:t>
            </w:r>
          </w:p>
        </w:tc>
        <w:tc>
          <w:tcPr>
            <w:tcW w:w="3391" w:type="pct"/>
            <w:tcBorders>
              <w:top w:val="single" w:color="C4CED8" w:sz="18" w:space="0"/>
              <w:left w:val="single" w:color="CCCCCC" w:sz="4" w:space="0"/>
            </w:tcBorders>
            <w:shd w:val="clear" w:color="auto" w:fill="F3F3F3"/>
            <w:tcMar>
              <w:top w:w="105" w:type="dxa"/>
              <w:left w:w="105" w:type="dxa"/>
              <w:bottom w:w="105" w:type="dxa"/>
              <w:right w:w="105" w:type="dxa"/>
            </w:tcMar>
            <w:vAlign w:val="center"/>
          </w:tcPr>
          <w:p>
            <w:pPr>
              <w:keepNext w:val="0"/>
              <w:keepLines w:val="0"/>
              <w:widowControl/>
              <w:suppressLineNumbers w:val="0"/>
              <w:spacing w:before="0" w:beforeAutospacing="0" w:after="0" w:afterAutospacing="0"/>
              <w:ind w:left="0" w:right="0"/>
              <w:jc w:val="center"/>
              <w:rPr>
                <w:b/>
                <w:bCs/>
                <w:color w:val="333333"/>
                <w:sz w:val="12"/>
                <w:szCs w:val="12"/>
              </w:rPr>
            </w:pPr>
            <w:r>
              <w:rPr>
                <w:rFonts w:ascii="宋体" w:hAnsi="宋体" w:eastAsia="宋体" w:cs="宋体"/>
                <w:b/>
                <w:bCs/>
                <w:color w:val="333333"/>
                <w:kern w:val="0"/>
                <w:sz w:val="12"/>
                <w:szCs w:val="12"/>
                <w:bdr w:val="none" w:color="auto" w:sz="0" w:space="0"/>
                <w:lang w:val="en-US" w:eastAsia="zh-CN" w:bidi="ar"/>
              </w:rPr>
              <w:t>工作单位</w:t>
            </w:r>
          </w:p>
        </w:tc>
      </w:tr>
      <w:tr>
        <w:tblPrEx>
          <w:tblBorders>
            <w:top w:val="none" w:color="auto" w:sz="0" w:space="0"/>
            <w:left w:val="none" w:color="auto" w:sz="0" w:space="0"/>
            <w:bottom w:val="single" w:color="EAEDF1" w:sz="4"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06"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德拉霍米尔·诺瓦克</w:t>
            </w:r>
          </w:p>
        </w:tc>
        <w:tc>
          <w:tcPr>
            <w:tcW w:w="901"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捷克共和国</w:t>
            </w:r>
          </w:p>
        </w:tc>
        <w:tc>
          <w:tcPr>
            <w:tcW w:w="3391" w:type="pct"/>
            <w:tcBorders>
              <w:top w:val="single" w:color="CCCCCC" w:sz="4" w:space="0"/>
              <w:left w:val="single" w:color="CCCCCC" w:sz="4" w:space="0"/>
              <w:right w:val="single" w:color="EAEDF1" w:sz="4" w:space="0"/>
            </w:tcBorders>
            <w:shd w:val="clear" w:color="auto" w:fill="FFFFFF"/>
            <w:tcMar>
              <w:top w:w="30" w:type="dxa"/>
              <w:left w:w="30" w:type="dxa"/>
              <w:bottom w:w="30" w:type="dxa"/>
              <w:right w:w="30" w:type="dxa"/>
            </w:tcMar>
            <w:vAlign w:val="center"/>
          </w:tcPr>
          <w:p>
            <w:pPr>
              <w:keepNext w:val="0"/>
              <w:keepLines w:val="0"/>
              <w:widowControl/>
              <w:suppressLineNumbers w:val="0"/>
              <w:spacing w:before="0" w:beforeAutospacing="0" w:after="0" w:afterAutospacing="0"/>
              <w:ind w:left="0" w:right="0"/>
              <w:jc w:val="center"/>
              <w:rPr>
                <w:color w:val="333333"/>
                <w:sz w:val="12"/>
                <w:szCs w:val="12"/>
              </w:rPr>
            </w:pPr>
            <w:r>
              <w:rPr>
                <w:rFonts w:ascii="宋体" w:hAnsi="宋体" w:eastAsia="宋体" w:cs="宋体"/>
                <w:color w:val="333333"/>
                <w:kern w:val="0"/>
                <w:sz w:val="12"/>
                <w:szCs w:val="12"/>
                <w:bdr w:val="none" w:color="auto" w:sz="0" w:space="0"/>
                <w:lang w:val="en-US" w:eastAsia="zh-CN" w:bidi="ar"/>
              </w:rPr>
              <w:t>布尔诺理工大学</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Symbol">
    <w:panose1 w:val="050501020107060205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0ZmI5Njc4YjBmZTk0NWIwZGY5ZWI3N2ZhY2M4MjEifQ=="/>
  </w:docVars>
  <w:rsids>
    <w:rsidRoot w:val="00000000"/>
    <w:rsid w:val="79326607"/>
    <w:rsid w:val="79C25D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微软雅黑" w:asciiTheme="minorHAnsi" w:hAnsiTheme="minorHAnsi" w:cstheme="minorBidi"/>
      <w:kern w:val="2"/>
      <w:sz w:val="28"/>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3</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2022-09-27T06:58:00Z</dcterms:created>
  <dc:creator>11364</dc:creator>
  <cp:lastModifiedBy>WPS_1673492275</cp:lastModifiedBy>
  <dcterms:modified xsi:type="dcterms:W3CDTF">2024-07-19T08:51:47Z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83D3DBCB6028424697D6F64704AAB6D6</vt:lpwstr>
  </property>
</Properties>
</file>