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169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rPr>
          <w:rFonts w:hint="eastAsia" w:ascii="微软雅黑" w:hAnsi="微软雅黑" w:eastAsia="微软雅黑" w:cs="微软雅黑"/>
          <w:i w:val="0"/>
          <w:iCs w:val="0"/>
          <w:caps w:val="0"/>
          <w:color w:val="666666"/>
          <w:spacing w:val="0"/>
          <w:sz w:val="18"/>
          <w:szCs w:val="18"/>
        </w:rPr>
      </w:pPr>
      <w:bookmarkStart w:id="0" w:name="_GoBack"/>
      <w:r>
        <w:rPr>
          <w:rStyle w:val="5"/>
          <w:rFonts w:hint="eastAsia" w:ascii="宋体" w:hAnsi="宋体" w:eastAsia="宋体" w:cs="宋体"/>
          <w:i w:val="0"/>
          <w:iCs w:val="0"/>
          <w:caps w:val="0"/>
          <w:color w:val="2E5A97"/>
          <w:spacing w:val="0"/>
          <w:sz w:val="18"/>
          <w:szCs w:val="18"/>
          <w:bdr w:val="none" w:color="auto" w:sz="0" w:space="0"/>
          <w:shd w:val="clear" w:fill="FFFFFF"/>
        </w:rPr>
        <w:t>附件：</w:t>
      </w:r>
      <w:r>
        <w:rPr>
          <w:rStyle w:val="5"/>
          <w:rFonts w:hint="default" w:ascii="Times New Roman" w:hAnsi="Times New Roman" w:eastAsia="微软雅黑" w:cs="Times New Roman"/>
          <w:i w:val="0"/>
          <w:iCs w:val="0"/>
          <w:caps w:val="0"/>
          <w:color w:val="2E5A97"/>
          <w:spacing w:val="0"/>
          <w:sz w:val="18"/>
          <w:szCs w:val="18"/>
          <w:bdr w:val="none" w:color="auto" w:sz="0" w:space="0"/>
          <w:shd w:val="clear" w:fill="FFFFFF"/>
        </w:rPr>
        <w:t>2025</w:t>
      </w:r>
      <w:r>
        <w:rPr>
          <w:rStyle w:val="5"/>
          <w:rFonts w:hint="eastAsia" w:ascii="宋体" w:hAnsi="宋体" w:eastAsia="宋体" w:cs="宋体"/>
          <w:i w:val="0"/>
          <w:iCs w:val="0"/>
          <w:caps w:val="0"/>
          <w:color w:val="2E5A97"/>
          <w:spacing w:val="0"/>
          <w:sz w:val="18"/>
          <w:szCs w:val="18"/>
          <w:bdr w:val="none" w:color="auto" w:sz="0" w:space="0"/>
          <w:shd w:val="clear" w:fill="FFFFFF"/>
        </w:rPr>
        <w:t>年度</w:t>
      </w:r>
      <w:r>
        <w:rPr>
          <w:rStyle w:val="5"/>
          <w:rFonts w:hint="default" w:ascii="Times New Roman" w:hAnsi="Times New Roman" w:eastAsia="微软雅黑" w:cs="Times New Roman"/>
          <w:i w:val="0"/>
          <w:iCs w:val="0"/>
          <w:caps w:val="0"/>
          <w:color w:val="2E5A97"/>
          <w:spacing w:val="0"/>
          <w:sz w:val="18"/>
          <w:szCs w:val="18"/>
          <w:bdr w:val="none" w:color="auto" w:sz="0" w:space="0"/>
          <w:shd w:val="clear" w:fill="FFFFFF"/>
        </w:rPr>
        <w:t>“</w:t>
      </w:r>
      <w:r>
        <w:rPr>
          <w:rStyle w:val="5"/>
          <w:rFonts w:hint="eastAsia" w:ascii="宋体" w:hAnsi="宋体" w:eastAsia="宋体" w:cs="宋体"/>
          <w:i w:val="0"/>
          <w:iCs w:val="0"/>
          <w:caps w:val="0"/>
          <w:color w:val="2E5A97"/>
          <w:spacing w:val="0"/>
          <w:sz w:val="18"/>
          <w:szCs w:val="18"/>
          <w:bdr w:val="none" w:color="auto" w:sz="0" w:space="0"/>
          <w:shd w:val="clear" w:fill="FFFFFF"/>
        </w:rPr>
        <w:t>远航工程”拟入选人员名单</w:t>
      </w:r>
      <w:bookmarkEnd w:id="0"/>
      <w:r>
        <w:rPr>
          <w:rStyle w:val="5"/>
          <w:rFonts w:hint="eastAsia" w:ascii="宋体" w:hAnsi="宋体" w:eastAsia="宋体" w:cs="宋体"/>
          <w:i w:val="0"/>
          <w:iCs w:val="0"/>
          <w:caps w:val="0"/>
          <w:color w:val="2E5A97"/>
          <w:spacing w:val="0"/>
          <w:sz w:val="12"/>
          <w:szCs w:val="12"/>
          <w:bdr w:val="none" w:color="auto" w:sz="0" w:space="0"/>
          <w:shd w:val="clear" w:fill="FFFFFF"/>
        </w:rPr>
        <w:t>（排名不分先后）</w:t>
      </w:r>
    </w:p>
    <w:tbl>
      <w:tblPr>
        <w:tblW w:w="95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25"/>
        <w:gridCol w:w="4267"/>
        <w:gridCol w:w="1131"/>
        <w:gridCol w:w="3187"/>
      </w:tblGrid>
      <w:tr w14:paraId="258B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1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5F5F5"/>
            <w:tcMar>
              <w:left w:w="70" w:type="dxa"/>
              <w:right w:w="70" w:type="dxa"/>
            </w:tcMar>
            <w:vAlign w:val="center"/>
          </w:tcPr>
          <w:p w14:paraId="403DA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Style w:val="5"/>
                <w:rFonts w:hint="eastAsia" w:ascii="宋体" w:hAnsi="宋体" w:eastAsia="宋体" w:cs="宋体"/>
                <w:i w:val="0"/>
                <w:iCs w:val="0"/>
                <w:caps w:val="0"/>
                <w:color w:val="555555"/>
                <w:spacing w:val="0"/>
                <w:sz w:val="18"/>
                <w:szCs w:val="18"/>
                <w:bdr w:val="none" w:color="auto" w:sz="0" w:space="0"/>
              </w:rPr>
              <w:t>序号</w:t>
            </w:r>
          </w:p>
        </w:tc>
        <w:tc>
          <w:tcPr>
            <w:tcW w:w="2490" w:type="dxa"/>
            <w:tcBorders>
              <w:top w:val="single" w:color="000000" w:sz="4" w:space="0"/>
              <w:left w:val="nil"/>
              <w:bottom w:val="single" w:color="000000" w:sz="4" w:space="0"/>
              <w:right w:val="single" w:color="000000" w:sz="4" w:space="0"/>
            </w:tcBorders>
            <w:shd w:val="clear" w:color="auto" w:fill="F5F5F5"/>
            <w:tcMar>
              <w:left w:w="70" w:type="dxa"/>
              <w:right w:w="70" w:type="dxa"/>
            </w:tcMar>
            <w:vAlign w:val="center"/>
          </w:tcPr>
          <w:p w14:paraId="101B2C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Style w:val="5"/>
                <w:rFonts w:hint="eastAsia" w:ascii="宋体" w:hAnsi="宋体" w:eastAsia="宋体" w:cs="宋体"/>
                <w:i w:val="0"/>
                <w:iCs w:val="0"/>
                <w:caps w:val="0"/>
                <w:color w:val="555555"/>
                <w:spacing w:val="0"/>
                <w:sz w:val="18"/>
                <w:szCs w:val="18"/>
                <w:bdr w:val="none" w:color="auto" w:sz="0" w:space="0"/>
              </w:rPr>
              <w:t>项目名称</w:t>
            </w:r>
          </w:p>
        </w:tc>
        <w:tc>
          <w:tcPr>
            <w:tcW w:w="660" w:type="dxa"/>
            <w:tcBorders>
              <w:top w:val="single" w:color="000000" w:sz="4" w:space="0"/>
              <w:left w:val="nil"/>
              <w:bottom w:val="single" w:color="000000" w:sz="4" w:space="0"/>
              <w:right w:val="single" w:color="000000" w:sz="4" w:space="0"/>
            </w:tcBorders>
            <w:shd w:val="clear" w:color="auto" w:fill="F5F5F5"/>
            <w:tcMar>
              <w:left w:w="70" w:type="dxa"/>
              <w:right w:w="70" w:type="dxa"/>
            </w:tcMar>
            <w:vAlign w:val="center"/>
          </w:tcPr>
          <w:p w14:paraId="31DC71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Style w:val="5"/>
                <w:rFonts w:hint="eastAsia" w:ascii="宋体" w:hAnsi="宋体" w:eastAsia="宋体" w:cs="宋体"/>
                <w:i w:val="0"/>
                <w:iCs w:val="0"/>
                <w:caps w:val="0"/>
                <w:color w:val="555555"/>
                <w:spacing w:val="0"/>
                <w:sz w:val="18"/>
                <w:szCs w:val="18"/>
                <w:bdr w:val="none" w:color="auto" w:sz="0" w:space="0"/>
              </w:rPr>
              <w:t>申报人</w:t>
            </w:r>
          </w:p>
        </w:tc>
        <w:tc>
          <w:tcPr>
            <w:tcW w:w="1860" w:type="dxa"/>
            <w:tcBorders>
              <w:top w:val="single" w:color="000000" w:sz="4" w:space="0"/>
              <w:left w:val="nil"/>
              <w:bottom w:val="single" w:color="000000" w:sz="4" w:space="0"/>
              <w:right w:val="single" w:color="000000" w:sz="4" w:space="0"/>
            </w:tcBorders>
            <w:shd w:val="clear" w:color="auto" w:fill="F5F5F5"/>
            <w:tcMar>
              <w:left w:w="70" w:type="dxa"/>
              <w:right w:w="70" w:type="dxa"/>
            </w:tcMar>
            <w:vAlign w:val="center"/>
          </w:tcPr>
          <w:p w14:paraId="239CFA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Style w:val="5"/>
                <w:rFonts w:hint="eastAsia" w:ascii="宋体" w:hAnsi="宋体" w:eastAsia="宋体" w:cs="宋体"/>
                <w:i w:val="0"/>
                <w:iCs w:val="0"/>
                <w:caps w:val="0"/>
                <w:color w:val="555555"/>
                <w:spacing w:val="0"/>
                <w:sz w:val="18"/>
                <w:szCs w:val="18"/>
                <w:bdr w:val="none" w:color="auto" w:sz="0" w:space="0"/>
              </w:rPr>
              <w:t>工作单位</w:t>
            </w:r>
          </w:p>
        </w:tc>
      </w:tr>
      <w:tr w14:paraId="72CAE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C402A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61776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基于超材料增强的受激拉曼散射（SRS）显微成像技术研发</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BDCC3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彭瑜</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412A2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赣州中盛隆电子有限公司</w:t>
            </w:r>
          </w:p>
        </w:tc>
      </w:tr>
      <w:tr w14:paraId="19B0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C0EF5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B13FF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IRS和DRL赋能下一代无线通信网络关键技术研究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E20DD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李安</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C6F9F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w:t>
            </w:r>
          </w:p>
        </w:tc>
      </w:tr>
      <w:tr w14:paraId="1188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43198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A1A08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家具智造模块化智能装配系统研发与实践</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5A8E6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万芬芬</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72DA7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南昌工程学院</w:t>
            </w:r>
          </w:p>
        </w:tc>
      </w:tr>
      <w:tr w14:paraId="073BF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1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CFE6B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678ED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基于同步辐射XAS/CDI联用技术的关键负极材料容量衰减机理及快充性能调控机制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AAE86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朱文均</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A33A1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景德镇陶瓷大学</w:t>
            </w:r>
          </w:p>
        </w:tc>
      </w:tr>
      <w:tr w14:paraId="5A04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B41B7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C9D72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高比能高安全固态电池关键材料与器件研究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52186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方姗</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31DAA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w:t>
            </w:r>
          </w:p>
        </w:tc>
      </w:tr>
      <w:tr w14:paraId="7DC2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3245B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6</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FED0E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发达国家资本市场的研发信息“粉饰”对IPO定价的影响研究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AD01D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左璇</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15D4C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3DB0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5EAB9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7</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27A35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中国企业发行海外债的风险识别、测度与预警机制研究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53CDB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杜江泽</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5AB22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江西财经大学</w:t>
            </w:r>
          </w:p>
        </w:tc>
      </w:tr>
      <w:tr w14:paraId="796F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9B8D5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8</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83DB9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人工智能赋能物流企业低碳发展的机制、效应与应对策略研究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13F77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龚雅玲</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1760C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豫章师范学院</w:t>
            </w:r>
          </w:p>
        </w:tc>
      </w:tr>
      <w:tr w14:paraId="3EB3E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CEF20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9</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F175F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湖泊湿地系统中微生物驱动的有机碳存储过程</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5FD20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马燕天</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9643E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w:t>
            </w:r>
          </w:p>
        </w:tc>
      </w:tr>
      <w:tr w14:paraId="3CDE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3B452B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10</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F807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基于类脑视觉红外传感器与主动雷达的复合导引技术研究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E0A31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肖永生</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23DFD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江西飞行学院</w:t>
            </w:r>
          </w:p>
        </w:tc>
      </w:tr>
      <w:tr w14:paraId="24E0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054EA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98CE8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MOFs衍生介孔TiO2/碳复合纳米片材料的设计构筑及其钠离子电池性能调控研究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81A3D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屈耀辉</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44B10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江西师范大学</w:t>
            </w:r>
          </w:p>
        </w:tc>
      </w:tr>
      <w:tr w14:paraId="59666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0B203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C0CE1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活性可形变物质的非平衡统计性质的研究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E0946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廖晶晶</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B66EE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江西理工大学</w:t>
            </w:r>
          </w:p>
        </w:tc>
      </w:tr>
      <w:tr w14:paraId="1EA1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5FE22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89235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航空材料与结构冲击动力学行为多尺度分析与计算</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45819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付艳恕</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0FE7C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江西飞行学院</w:t>
            </w:r>
          </w:p>
        </w:tc>
      </w:tr>
      <w:tr w14:paraId="23A56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08D2D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97F24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梯度纳米结构抗菌钛合金表面生物活性改性及其性能研究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3DB67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陈绵</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54CDC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华东交通大学</w:t>
            </w:r>
          </w:p>
        </w:tc>
      </w:tr>
      <w:tr w14:paraId="409C9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71FF6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DE3FE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面向航空复合材料的主动结构光热三维缺陷检测方法研究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645F5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邓丽军</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DC3C8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5951C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738AB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16</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2B71D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面向复杂地形條件下公路边滑坡的多源异构智能体检测理论与方法</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5C9D8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白书华</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8AB70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南昌理工学院</w:t>
            </w:r>
          </w:p>
        </w:tc>
      </w:tr>
      <w:tr w14:paraId="4960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1CF2C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17</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74700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G蛋白偶联受体（GPCR）异聚体复合物A2AR-D2R的结构与功能研究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9E327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江海海</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81A57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w:t>
            </w:r>
          </w:p>
        </w:tc>
      </w:tr>
      <w:tr w14:paraId="38F3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3A758A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18</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D07F3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聚变材料辐照损伤效应研究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814CD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倪维元</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FA13D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赣南师范大学</w:t>
            </w:r>
          </w:p>
        </w:tc>
      </w:tr>
      <w:tr w14:paraId="4A82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8F4B8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19</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6494D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江西省先进制造产业集群战略对城市工业绿色全要素生产率的影响研究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D2104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徐国良</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C9EDA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江西财经大学</w:t>
            </w:r>
          </w:p>
        </w:tc>
      </w:tr>
      <w:tr w14:paraId="28304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3EE36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20</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68A06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老年人慢性病共病患病率和模式与环境颗粒物的关系： 基于CHARLS数据库</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CCB8C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孙克</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26A46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42505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3591A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C51A3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生成式人工智能对大学生学习的影响</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9B61D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吴学仕</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3A4F4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07912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F58A4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13232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催化陶瓷膜的可控构筑及其高效去除新污染物的机制研究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83DE0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杨玉龙</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64784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景德镇陶瓷大学</w:t>
            </w:r>
          </w:p>
        </w:tc>
      </w:tr>
      <w:tr w14:paraId="0B125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3DADD1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10B26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铜渣生物炭多效催化禽畜粪便液化制油机理协同氮磷回收研究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1898F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蒋海伟</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C5F8E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江西省科学院</w:t>
            </w:r>
          </w:p>
        </w:tc>
      </w:tr>
      <w:tr w14:paraId="524C3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91FCB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315C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促进光系统II持续水分解活性的蛋白质相互作用机理研究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D21C2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张洋</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24CDB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江西省农业科学院作物研究所</w:t>
            </w:r>
          </w:p>
        </w:tc>
      </w:tr>
      <w:tr w14:paraId="1844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7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24EA7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A1C6E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赣产中药配方颗粒制剂关键技术研究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549D5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程春松</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767CE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中国科学院庐山植物园</w:t>
            </w:r>
          </w:p>
        </w:tc>
      </w:tr>
      <w:tr w14:paraId="41D62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323668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26</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54D92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土壤食物网功能对森林土壤多组分碳蓄存的影响及其主要驱动因素</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154D5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牛国祥</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78CE3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中国科学院庐山植物园</w:t>
            </w:r>
          </w:p>
        </w:tc>
      </w:tr>
      <w:tr w14:paraId="07AF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F265B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27</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7FA86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植物化学活性成分的功能评价与生物利用度提高</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BC803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高洪霞</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D3F47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66A8E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9FABA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28</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7F19B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肠道菌群在代谢性疾病发表机制中的作用研究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EEE8B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李琼</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56BDF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江西中医药大学</w:t>
            </w:r>
          </w:p>
        </w:tc>
      </w:tr>
      <w:tr w14:paraId="1EF4B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4F0CC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29</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37883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微塑料胁迫下硒在芦笋体内的动态转运、亚细胞定位及其抗逆功能研究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B7180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胡良</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F886A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南昌工程学院</w:t>
            </w:r>
          </w:p>
        </w:tc>
      </w:tr>
      <w:tr w14:paraId="1BF10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C8A37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30</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28316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纤维增强含锂渣地聚物混凝土的力学性能及增强机理研究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360C5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朱道佩</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CE7B2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江西理工大学</w:t>
            </w:r>
          </w:p>
        </w:tc>
      </w:tr>
      <w:tr w14:paraId="46B5C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06D95A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C999D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PEDOT:PSS类智能水凝胶新材料的设计制备及其光电忆阻器</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C989C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杨汉珺</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57DDE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1AC18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21DEE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EE46B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水产胶原蛋白-壳聚糖可食用膜的制备及改性的研究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F1E14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陈丽丽</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EE679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江西科技师范大学</w:t>
            </w:r>
          </w:p>
        </w:tc>
      </w:tr>
      <w:tr w14:paraId="73CE3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2E0009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6EDC5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复杂交通场景AI数字重构技术</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2EA55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万川</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65B37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南昌智能新能源汽车研究院</w:t>
            </w:r>
          </w:p>
        </w:tc>
      </w:tr>
      <w:tr w14:paraId="7008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9DEA7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08D49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植物基因编辑技术体系构建及其在抗病毒中的应用</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EEEAD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周俊</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0C75D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赣南师范大学</w:t>
            </w:r>
          </w:p>
        </w:tc>
      </w:tr>
      <w:tr w14:paraId="6731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042BE7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E46D8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乳腺癌易感基因突变在乳腺癌患者中与其他癌症风险的相关性研究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90397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肖清扬</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AB69F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赣南医科大学</w:t>
            </w:r>
          </w:p>
        </w:tc>
      </w:tr>
      <w:tr w14:paraId="603FD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0D67C9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36</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4C62F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基于fNIRS的阿尔兹海默症早期脑功能识别与认知评估研究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BE57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谢欢</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4ABD7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南昌医学院</w:t>
            </w:r>
          </w:p>
        </w:tc>
      </w:tr>
      <w:tr w14:paraId="136B2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3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83432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37</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96EEF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蛋白质翻译后修饰与恶性肿瘤耐药的机制探索及靶向药物筛选</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F6ADC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陈磊峰</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05E5F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19BF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9386A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38</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BD7DA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肝胆胰恶性肿瘤诊治新技术</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9FAF6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梁博</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3698A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7BD1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295C42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39</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92752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线粒体功能与恶性肿瘤进展的关系研究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C45A6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许德斌</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5542E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3CC1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7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E11CD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40</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37CBC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超声造影融合生物标志物多组学预测肝细胞癌侵袭性的新技术探索与应用</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49E59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刘丹</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AC4F1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4A5E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19617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2325F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新型生物材料在神经系统损伤诊断和治疗中的研究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7CB7E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李晓麟</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96852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60D2F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08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2A4CD4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48BBD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针对与子宫内膜异位症相关的细胞外囊泡（EVs）的非侵入性诊断检测方法研究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22B66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刘发英</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8F305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江西省妇幼保健院</w:t>
            </w:r>
          </w:p>
        </w:tc>
      </w:tr>
      <w:tr w14:paraId="64F2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954BD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DD79D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中药对耐药卵巢癌作用机制的研究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03BF5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胡辉</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1D51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42E95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0A5FCC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27716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淋巴浆细胞疾病的诊断及治疗</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524AB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訾富明</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893B3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3CF03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3F2B74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86C57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泌尿系疾病的微创诊治</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4EBCA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邓小林</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9CD2B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赣州市人民医院</w:t>
            </w:r>
          </w:p>
        </w:tc>
      </w:tr>
      <w:tr w14:paraId="6ABE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5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8346F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46</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1AFAE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膀胱癌的起源与演化，肿瘤相关成纤维与肿瘤细胞的相互调控机制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F442E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张信基</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A79E3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0F298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9CF8F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47</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515B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外科常见疾病的规范诊疗及全程化管理</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59FFE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冯潜</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64DD4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02D3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1C2F2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48</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8495E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再生细菌纤维素/多壁碳纳米管复合材料在颌面骨再生中的应用</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DDD1C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邹海啸</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DB0E3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09779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FBA5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49</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A345D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早孕期胎儿心脏发育异常的超声筛查</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96503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郭良云</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DC7A9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2FFF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95B2D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50</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833CA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MEG3去甲基化抑制NLRP3/Notch-1通路改善糖尿病视网膜病理性新生血管生成机制探究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0015F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邓波</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467C6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南昌市第一医院</w:t>
            </w:r>
          </w:p>
        </w:tc>
      </w:tr>
      <w:tr w14:paraId="51B09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97B80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3D077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关节外科及骨肿瘤的诊治</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BADEF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周斌</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7633B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南昌大学第二附属医院</w:t>
            </w:r>
          </w:p>
        </w:tc>
      </w:tr>
      <w:tr w14:paraId="25A0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76829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E8ABE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耳内镜中耳及耳颅底外科临床技能学习</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32C6C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熊园平</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FF165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272AF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F2F27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CCD25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康复医学新技术与新方法</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91CE8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董晓阳</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0F899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1CCA6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24C96F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33EE7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基于多模态数据融合的神经康复治疗效果精准评估与个性化干预策略研究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8E0A0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孙伟铭</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F4027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74BE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BB25C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418A6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介入心脏病学专科培训项目</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70055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蔡新勇</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1B69E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江西省人民医院</w:t>
            </w:r>
          </w:p>
        </w:tc>
      </w:tr>
      <w:tr w14:paraId="66B8D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3A9382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56</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AA69C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肠道菌群对神经免疫性疾病的临床与机制研究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7F585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陈昊</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D439F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6610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7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AAF60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57</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D4C08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赴美国加州大学访学</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B4676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查建华</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9E1CA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01D0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7D7BC9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58</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2054D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电荷互补双多肽自组装构建牙釉质仿生纳米界面及其抗菌/再矿化协同机制研究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77AFF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彭诗芸</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52C73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南昌大学附属口腔医院</w:t>
            </w:r>
          </w:p>
        </w:tc>
      </w:tr>
      <w:tr w14:paraId="238A2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64273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59</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1A4F1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肿瘤细胞代谢对放射敏感性的影响</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2E69B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涂子为</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00864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江西省肿瘤医院</w:t>
            </w:r>
          </w:p>
        </w:tc>
      </w:tr>
      <w:tr w14:paraId="692AF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9A6B7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60</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60DC8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悉尼科技大学Woolcock研究所访学</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91490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张清</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862D7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1FF7D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53FB9D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61</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880E2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新加坡国立癌症中心研修项目</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34C5CB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曾乔</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31ED1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江西省肿瘤医院</w:t>
            </w:r>
          </w:p>
        </w:tc>
      </w:tr>
      <w:tr w14:paraId="26024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1BF233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62</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688932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赴香港大学访学</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749EF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王珺</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12C3E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r w14:paraId="0461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4DA992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63</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0A2D8C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磁共振脑功能与人工智能深度学习的相关研究</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73552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李滋聪</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4FB614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江西省人民医院</w:t>
            </w:r>
          </w:p>
        </w:tc>
      </w:tr>
      <w:tr w14:paraId="683F4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6C96A8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64</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9B1A9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赴美国路易斯安那州立大学牙科学院访问学习项目</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1C4187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胡道勇</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B567A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南昌大学附属口腔医院</w:t>
            </w:r>
          </w:p>
        </w:tc>
      </w:tr>
      <w:tr w14:paraId="2424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800" w:hRule="atLeast"/>
        </w:trPr>
        <w:tc>
          <w:tcPr>
            <w:tcW w:w="540" w:type="dxa"/>
            <w:tcBorders>
              <w:top w:val="nil"/>
              <w:left w:val="single" w:color="000000" w:sz="4" w:space="0"/>
              <w:bottom w:val="single" w:color="000000" w:sz="4" w:space="0"/>
              <w:right w:val="single" w:color="000000" w:sz="4" w:space="0"/>
            </w:tcBorders>
            <w:shd w:val="clear" w:color="auto" w:fill="FFFFFF"/>
            <w:tcMar>
              <w:left w:w="70" w:type="dxa"/>
              <w:right w:w="70" w:type="dxa"/>
            </w:tcMar>
            <w:vAlign w:val="center"/>
          </w:tcPr>
          <w:p w14:paraId="25F317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666666"/>
                <w:spacing w:val="0"/>
                <w:sz w:val="18"/>
                <w:szCs w:val="18"/>
                <w:bdr w:val="none" w:color="auto" w:sz="0" w:space="0"/>
              </w:rPr>
              <w:t>65</w:t>
            </w:r>
          </w:p>
        </w:tc>
        <w:tc>
          <w:tcPr>
            <w:tcW w:w="2490" w:type="dxa"/>
            <w:tcBorders>
              <w:top w:val="nil"/>
              <w:left w:val="nil"/>
              <w:bottom w:val="single" w:color="000000" w:sz="4" w:space="0"/>
              <w:right w:val="single" w:color="000000" w:sz="4" w:space="0"/>
            </w:tcBorders>
            <w:shd w:val="clear" w:color="auto" w:fill="FFFFFF"/>
            <w:tcMar>
              <w:left w:w="70" w:type="dxa"/>
              <w:right w:w="70" w:type="dxa"/>
            </w:tcMar>
            <w:vAlign w:val="center"/>
          </w:tcPr>
          <w:p w14:paraId="74B9D6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去泛素化蛋白家族在急性肺损伤及肺纤维化中的多通路调控机制及治疗策略</w:t>
            </w:r>
          </w:p>
        </w:tc>
        <w:tc>
          <w:tcPr>
            <w:tcW w:w="6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2A5B17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唐芳</w:t>
            </w:r>
          </w:p>
        </w:tc>
        <w:tc>
          <w:tcPr>
            <w:tcW w:w="1860" w:type="dxa"/>
            <w:tcBorders>
              <w:top w:val="nil"/>
              <w:left w:val="nil"/>
              <w:bottom w:val="single" w:color="000000" w:sz="4" w:space="0"/>
              <w:right w:val="single" w:color="000000" w:sz="4" w:space="0"/>
            </w:tcBorders>
            <w:shd w:val="clear" w:color="auto" w:fill="FFFFFF"/>
            <w:tcMar>
              <w:left w:w="70" w:type="dxa"/>
              <w:right w:w="70" w:type="dxa"/>
            </w:tcMar>
            <w:vAlign w:val="center"/>
          </w:tcPr>
          <w:p w14:paraId="5FF2F9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firstLine="0"/>
              <w:jc w:val="center"/>
              <w:textAlignment w:val="center"/>
              <w:rPr>
                <w:sz w:val="18"/>
                <w:szCs w:val="18"/>
              </w:rPr>
            </w:pPr>
            <w:r>
              <w:rPr>
                <w:rFonts w:hint="eastAsia" w:ascii="宋体" w:hAnsi="宋体" w:eastAsia="宋体" w:cs="宋体"/>
                <w:i w:val="0"/>
                <w:iCs w:val="0"/>
                <w:caps w:val="0"/>
                <w:color w:val="555555"/>
                <w:spacing w:val="0"/>
                <w:sz w:val="18"/>
                <w:szCs w:val="18"/>
                <w:bdr w:val="none" w:color="auto" w:sz="0" w:space="0"/>
              </w:rPr>
              <w:t>南昌大学第一附属医院</w:t>
            </w:r>
          </w:p>
        </w:tc>
      </w:tr>
    </w:tbl>
    <w:p w14:paraId="6E7B07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rPr>
          <w:rFonts w:hint="eastAsia" w:ascii="微软雅黑" w:hAnsi="微软雅黑" w:eastAsia="微软雅黑" w:cs="微软雅黑"/>
          <w:i w:val="0"/>
          <w:iCs w:val="0"/>
          <w:caps w:val="0"/>
          <w:color w:val="666666"/>
          <w:spacing w:val="0"/>
          <w:sz w:val="18"/>
          <w:szCs w:val="18"/>
        </w:rPr>
      </w:pPr>
    </w:p>
    <w:p w14:paraId="51F35A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rPr>
          <w:rFonts w:hint="eastAsia" w:ascii="微软雅黑" w:hAnsi="微软雅黑" w:eastAsia="微软雅黑" w:cs="微软雅黑"/>
          <w:i w:val="0"/>
          <w:iCs w:val="0"/>
          <w:caps w:val="0"/>
          <w:color w:val="666666"/>
          <w:spacing w:val="0"/>
          <w:sz w:val="18"/>
          <w:szCs w:val="18"/>
        </w:rPr>
      </w:pPr>
      <w:r>
        <w:rPr>
          <w:rFonts w:hint="eastAsia" w:ascii="微软雅黑" w:hAnsi="微软雅黑" w:eastAsia="微软雅黑" w:cs="微软雅黑"/>
          <w:i w:val="0"/>
          <w:iCs w:val="0"/>
          <w:caps w:val="0"/>
          <w:color w:val="666666"/>
          <w:spacing w:val="0"/>
          <w:sz w:val="18"/>
          <w:szCs w:val="18"/>
          <w:bdr w:val="none" w:color="auto" w:sz="0" w:space="0"/>
          <w:shd w:val="clear" w:fill="FFFFFF"/>
        </w:rPr>
        <w:t>   </w:t>
      </w:r>
    </w:p>
    <w:p w14:paraId="52A041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920F2"/>
    <w:rsid w:val="79326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asciiTheme="minorHAnsi" w:hAnsiTheme="minorHAnsi" w:cstheme="minorBidi"/>
      <w:kern w:val="2"/>
      <w:sz w:val="28"/>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2022-09-27T06:58:00Z</dcterms:created>
  <dc:creator>11364</dc:creator>
  <cp:lastModifiedBy>共享账号</cp:lastModifiedBy>
  <dcterms:modified xsi:type="dcterms:W3CDTF">2025-08-27T10:17:49Z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83D3DBCB6028424697D6F64704AAB6D6</vt:lpwstr>
  </property>
  <property fmtid="{D5CDD505-2E9C-101B-9397-08002B2CF9AE}" pid="4" name="KSOTemplateDocerSaveRecord">
    <vt:lpwstr>eyJoZGlkIjoiNDI0ZmI5Njc4YjBmZTk0NWIwZGY5ZWI3N2ZhY2M4MjEiLCJ1c2VySWQiOiI2MzAwNjM1OTMifQ==</vt:lpwstr>
  </property>
</Properties>
</file>